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5ABB" w:rsidRPr="00BF3B15" w:rsidRDefault="003E5ABB" w:rsidP="003E5ABB">
      <w:pPr>
        <w:spacing w:before="100" w:beforeAutospacing="1" w:after="100" w:afterAutospacing="1" w:line="360" w:lineRule="auto"/>
        <w:jc w:val="both"/>
        <w:rPr>
          <w:rFonts w:ascii="Palatino Linotype" w:hAnsi="Palatino Linotype"/>
        </w:rPr>
      </w:pPr>
      <w:r w:rsidRPr="00BF3B15">
        <w:rPr>
          <w:rFonts w:ascii="Palatino Linotype" w:hAnsi="Palatino Linotype"/>
        </w:rPr>
        <w:t>Resolución del Pleno del Instituto de Transparencia, Acceso a la Información Pública y Protección de Datos Personales del Estado de México y Municipios, con domicilio en Metepec, Est</w:t>
      </w:r>
      <w:r w:rsidR="001B3AB2" w:rsidRPr="00BF3B15">
        <w:rPr>
          <w:rFonts w:ascii="Palatino Linotype" w:hAnsi="Palatino Linotype"/>
        </w:rPr>
        <w:t>ado de México, de fecha tres de abril</w:t>
      </w:r>
      <w:r w:rsidRPr="00BF3B15">
        <w:rPr>
          <w:rFonts w:ascii="Palatino Linotype" w:hAnsi="Palatino Linotype"/>
        </w:rPr>
        <w:t xml:space="preserve"> de dos mil diecinueve.</w:t>
      </w:r>
    </w:p>
    <w:p w:rsidR="003E5ABB" w:rsidRPr="00BF3B15" w:rsidRDefault="003E5ABB" w:rsidP="003E5ABB">
      <w:pPr>
        <w:spacing w:before="100" w:beforeAutospacing="1" w:after="100" w:afterAutospacing="1" w:line="360" w:lineRule="auto"/>
        <w:jc w:val="both"/>
        <w:rPr>
          <w:rFonts w:ascii="Palatino Linotype" w:hAnsi="Palatino Linotype"/>
        </w:rPr>
      </w:pPr>
      <w:r w:rsidRPr="00BF3B15">
        <w:rPr>
          <w:rFonts w:ascii="Palatino Linotype" w:hAnsi="Palatino Linotype"/>
          <w:b/>
        </w:rPr>
        <w:t>VISTO</w:t>
      </w:r>
      <w:r w:rsidRPr="00BF3B15">
        <w:rPr>
          <w:rFonts w:ascii="Palatino Linotype" w:hAnsi="Palatino Linotype"/>
        </w:rPr>
        <w:t xml:space="preserve"> el expediente formado con motivo del recurso de revisión </w:t>
      </w:r>
      <w:r w:rsidRPr="00BF3B15">
        <w:rPr>
          <w:rFonts w:ascii="Palatino Linotype" w:hAnsi="Palatino Linotype"/>
          <w:b/>
        </w:rPr>
        <w:t>00332/INFOEM/IP/RR/2019</w:t>
      </w:r>
      <w:r w:rsidRPr="00BF3B15">
        <w:rPr>
          <w:rFonts w:ascii="Palatino Linotype" w:hAnsi="Palatino Linotype"/>
        </w:rPr>
        <w:t xml:space="preserve">, promovido por la </w:t>
      </w:r>
      <w:r w:rsidRPr="00BF3B15">
        <w:rPr>
          <w:rFonts w:ascii="Palatino Linotype" w:hAnsi="Palatino Linotype"/>
          <w:b/>
        </w:rPr>
        <w:t xml:space="preserve">C. </w:t>
      </w:r>
      <w:r w:rsidR="006F4329" w:rsidRPr="006F4329">
        <w:rPr>
          <w:rFonts w:ascii="Palatino Linotype" w:hAnsi="Palatino Linotype"/>
          <w:b/>
        </w:rPr>
        <w:t xml:space="preserve">XXXXXXXXX </w:t>
      </w:r>
      <w:proofErr w:type="spellStart"/>
      <w:r w:rsidR="006F4329" w:rsidRPr="006F4329">
        <w:rPr>
          <w:rFonts w:ascii="Palatino Linotype" w:hAnsi="Palatino Linotype"/>
          <w:b/>
        </w:rPr>
        <w:t>XXXXXXXXX</w:t>
      </w:r>
      <w:proofErr w:type="spellEnd"/>
      <w:r w:rsidR="006F4329" w:rsidRPr="006F4329">
        <w:rPr>
          <w:rFonts w:ascii="Palatino Linotype" w:hAnsi="Palatino Linotype"/>
          <w:b/>
        </w:rPr>
        <w:t xml:space="preserve"> XXXXX</w:t>
      </w:r>
      <w:r w:rsidRPr="00BF3B15">
        <w:rPr>
          <w:rFonts w:ascii="Palatino Linotype" w:hAnsi="Palatino Linotype"/>
          <w:b/>
        </w:rPr>
        <w:t xml:space="preserve">, </w:t>
      </w:r>
      <w:r w:rsidRPr="00BF3B15">
        <w:rPr>
          <w:rFonts w:ascii="Palatino Linotype" w:hAnsi="Palatino Linotype"/>
        </w:rPr>
        <w:t xml:space="preserve">en lo sucesivo </w:t>
      </w:r>
      <w:r w:rsidRPr="00BF3B15">
        <w:rPr>
          <w:rFonts w:ascii="Palatino Linotype" w:hAnsi="Palatino Linotype"/>
          <w:b/>
        </w:rPr>
        <w:t>LA RECURRENTE</w:t>
      </w:r>
      <w:r w:rsidRPr="00BF3B15">
        <w:rPr>
          <w:rFonts w:ascii="Palatino Linotype" w:hAnsi="Palatino Linotype"/>
        </w:rPr>
        <w:t xml:space="preserve">, en contra de la respuesta emitida por el </w:t>
      </w:r>
      <w:r w:rsidRPr="00BF3B15">
        <w:rPr>
          <w:rFonts w:ascii="Palatino Linotype" w:hAnsi="Palatino Linotype"/>
          <w:b/>
        </w:rPr>
        <w:t>Ayuntamiento de Metepec</w:t>
      </w:r>
      <w:r w:rsidRPr="00BF3B15">
        <w:rPr>
          <w:rFonts w:ascii="Palatino Linotype" w:hAnsi="Palatino Linotype"/>
        </w:rPr>
        <w:t xml:space="preserve">, en lo sucesivo </w:t>
      </w:r>
      <w:r w:rsidRPr="00BF3B15">
        <w:rPr>
          <w:rFonts w:ascii="Palatino Linotype" w:hAnsi="Palatino Linotype"/>
          <w:b/>
        </w:rPr>
        <w:t>EL SUJETO OBLIGADO</w:t>
      </w:r>
      <w:r w:rsidRPr="00BF3B15">
        <w:rPr>
          <w:rFonts w:ascii="Palatino Linotype" w:hAnsi="Palatino Linotype"/>
        </w:rPr>
        <w:t xml:space="preserve">, se procede a dictar la presente resolución con base en lo siguiente: </w:t>
      </w:r>
    </w:p>
    <w:p w:rsidR="003E5ABB" w:rsidRPr="00BF3B15" w:rsidRDefault="003E5ABB" w:rsidP="003E5ABB">
      <w:pPr>
        <w:spacing w:before="100" w:beforeAutospacing="1" w:after="100" w:afterAutospacing="1" w:line="360" w:lineRule="auto"/>
        <w:jc w:val="center"/>
        <w:rPr>
          <w:rFonts w:ascii="Palatino Linotype" w:hAnsi="Palatino Linotype"/>
          <w:b/>
          <w:bCs/>
          <w:spacing w:val="40"/>
          <w:sz w:val="28"/>
        </w:rPr>
      </w:pPr>
      <w:r w:rsidRPr="00BF3B15">
        <w:rPr>
          <w:rFonts w:ascii="Palatino Linotype" w:hAnsi="Palatino Linotype"/>
          <w:b/>
          <w:bCs/>
          <w:spacing w:val="40"/>
          <w:sz w:val="28"/>
        </w:rPr>
        <w:t>RESULTANDO</w:t>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b/>
          <w:sz w:val="28"/>
          <w:szCs w:val="28"/>
        </w:rPr>
        <w:t>I.</w:t>
      </w:r>
      <w:r w:rsidRPr="00BF3B15">
        <w:rPr>
          <w:rFonts w:ascii="Palatino Linotype" w:hAnsi="Palatino Linotype"/>
        </w:rPr>
        <w:t xml:space="preserve"> En fecha veintiséis de noviembre de dos mil dieciocho, </w:t>
      </w:r>
      <w:r w:rsidRPr="00BF3B15">
        <w:rPr>
          <w:rFonts w:ascii="Palatino Linotype" w:hAnsi="Palatino Linotype"/>
          <w:b/>
        </w:rPr>
        <w:t>LA RECURRENTE</w:t>
      </w:r>
      <w:r w:rsidRPr="00BF3B15">
        <w:rPr>
          <w:rFonts w:ascii="Palatino Linotype" w:hAnsi="Palatino Linotype"/>
        </w:rPr>
        <w:t xml:space="preserve"> presentó a través del </w:t>
      </w:r>
      <w:r w:rsidRPr="00BF3B15">
        <w:rPr>
          <w:rFonts w:ascii="Palatino Linotype" w:hAnsi="Palatino Linotype" w:cs="Arial"/>
        </w:rPr>
        <w:t>Sistema</w:t>
      </w:r>
      <w:r w:rsidRPr="00BF3B15">
        <w:rPr>
          <w:rFonts w:ascii="Palatino Linotype" w:hAnsi="Palatino Linotype"/>
        </w:rPr>
        <w:t xml:space="preserve"> de </w:t>
      </w:r>
      <w:r w:rsidRPr="00BF3B15">
        <w:rPr>
          <w:rFonts w:ascii="Palatino Linotype" w:hAnsi="Palatino Linotype" w:cs="Arial"/>
        </w:rPr>
        <w:t>Acceso</w:t>
      </w:r>
      <w:r w:rsidRPr="00BF3B15">
        <w:rPr>
          <w:rFonts w:ascii="Palatino Linotype" w:hAnsi="Palatino Linotype"/>
        </w:rPr>
        <w:t xml:space="preserve"> a la Información Mexiquense, en lo subsecuente </w:t>
      </w:r>
      <w:r w:rsidRPr="00BF3B15">
        <w:rPr>
          <w:rFonts w:ascii="Palatino Linotype" w:hAnsi="Palatino Linotype"/>
          <w:b/>
        </w:rPr>
        <w:t>EL SAIMEX</w:t>
      </w:r>
      <w:r w:rsidRPr="00BF3B15">
        <w:rPr>
          <w:rFonts w:ascii="Palatino Linotype" w:hAnsi="Palatino Linotype"/>
        </w:rPr>
        <w:t xml:space="preserve"> ante </w:t>
      </w:r>
      <w:r w:rsidRPr="00BF3B15">
        <w:rPr>
          <w:rFonts w:ascii="Palatino Linotype" w:hAnsi="Palatino Linotype"/>
          <w:b/>
        </w:rPr>
        <w:t>EL SUJETO OBLIGADO</w:t>
      </w:r>
      <w:r w:rsidRPr="00BF3B15">
        <w:rPr>
          <w:rFonts w:ascii="Palatino Linotype" w:hAnsi="Palatino Linotype"/>
        </w:rPr>
        <w:t xml:space="preserve">, la solicitud de acceso a la información pública, a la que se le asignó el número </w:t>
      </w:r>
      <w:r w:rsidRPr="00BF3B15">
        <w:rPr>
          <w:rFonts w:ascii="Palatino Linotype" w:hAnsi="Palatino Linotype"/>
          <w:b/>
          <w:bCs/>
        </w:rPr>
        <w:t>00253/METEPEC/IP/2018</w:t>
      </w:r>
      <w:r w:rsidRPr="00BF3B15">
        <w:rPr>
          <w:rFonts w:ascii="Palatino Linotype" w:hAnsi="Palatino Linotype"/>
        </w:rPr>
        <w:t>, mediante la cual solicitó:</w:t>
      </w:r>
    </w:p>
    <w:p w:rsidR="003E5ABB" w:rsidRPr="00BF3B15" w:rsidRDefault="003E5ABB" w:rsidP="003E5ABB">
      <w:pPr>
        <w:spacing w:before="100" w:beforeAutospacing="1" w:after="100" w:afterAutospacing="1"/>
        <w:ind w:left="709" w:right="709"/>
        <w:jc w:val="both"/>
        <w:rPr>
          <w:rFonts w:ascii="Palatino Linotype" w:hAnsi="Palatino Linotype" w:cs="Arial"/>
          <w:i/>
          <w:sz w:val="22"/>
          <w:szCs w:val="22"/>
        </w:rPr>
      </w:pPr>
      <w:r w:rsidRPr="00BF3B15">
        <w:rPr>
          <w:rFonts w:ascii="Palatino Linotype" w:hAnsi="Palatino Linotype" w:cs="Arial"/>
          <w:i/>
          <w:sz w:val="22"/>
          <w:szCs w:val="22"/>
        </w:rPr>
        <w:t xml:space="preserve">“SOLICITO LOS TALONES DE PAGO DE SEGURIDAD PUBLICA DE LA ULTIMA QUINCENA DISPERSDA ASI COMO NUMERO DE TODO EL PARQUE VEHICULAR, ASI COMO EL NUMERO DE TODO EL EQUIPO CON EL QUE CUENTA LA DEPENDENCIA DE SEGURIDAD PUBLICA DE ESTE MUNICIPIO.” </w:t>
      </w:r>
      <w:r w:rsidRPr="00BF3B15">
        <w:rPr>
          <w:rFonts w:ascii="Palatino Linotype" w:hAnsi="Palatino Linotype"/>
          <w:sz w:val="22"/>
          <w:szCs w:val="22"/>
        </w:rPr>
        <w:t>(Sic).</w:t>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rPr>
      </w:pPr>
      <w:r w:rsidRPr="00BF3B15">
        <w:rPr>
          <w:rFonts w:ascii="Palatino Linotype" w:hAnsi="Palatino Linotype"/>
        </w:rPr>
        <w:t xml:space="preserve">Modalidad de entrega: </w:t>
      </w:r>
      <w:r w:rsidRPr="00BF3B15">
        <w:rPr>
          <w:rFonts w:ascii="Palatino Linotype" w:hAnsi="Palatino Linotype"/>
          <w:b/>
        </w:rPr>
        <w:t>Vía SAIMEX</w:t>
      </w:r>
    </w:p>
    <w:p w:rsidR="003E5ABB" w:rsidRPr="00BF3B15" w:rsidRDefault="003E5ABB" w:rsidP="003E5ABB">
      <w:pPr>
        <w:pStyle w:val="Prrafodelista"/>
        <w:tabs>
          <w:tab w:val="left" w:pos="567"/>
        </w:tabs>
        <w:spacing w:before="100" w:beforeAutospacing="1" w:after="100" w:afterAutospacing="1" w:line="360" w:lineRule="auto"/>
        <w:ind w:left="0"/>
        <w:contextualSpacing/>
        <w:jc w:val="both"/>
        <w:rPr>
          <w:rFonts w:ascii="Palatino Linotype" w:hAnsi="Palatino Linotype"/>
        </w:rPr>
      </w:pPr>
      <w:r w:rsidRPr="00BF3B15">
        <w:rPr>
          <w:rFonts w:ascii="Palatino Linotype" w:hAnsi="Palatino Linotype"/>
          <w:b/>
          <w:sz w:val="28"/>
          <w:szCs w:val="28"/>
        </w:rPr>
        <w:t>II.</w:t>
      </w:r>
      <w:r w:rsidRPr="00BF3B15">
        <w:rPr>
          <w:rFonts w:ascii="Palatino Linotype" w:hAnsi="Palatino Linotype"/>
        </w:rPr>
        <w:t xml:space="preserve"> Con base en el detalle de seguimiento del</w:t>
      </w:r>
      <w:r w:rsidRPr="00BF3B15">
        <w:rPr>
          <w:rFonts w:ascii="Palatino Linotype" w:hAnsi="Palatino Linotype"/>
          <w:b/>
        </w:rPr>
        <w:t xml:space="preserve"> SAIMEX</w:t>
      </w:r>
      <w:r w:rsidRPr="00BF3B15">
        <w:rPr>
          <w:rFonts w:ascii="Palatino Linotype" w:hAnsi="Palatino Linotype"/>
        </w:rPr>
        <w:t>, se advierte que</w:t>
      </w:r>
      <w:r w:rsidR="00841EE1" w:rsidRPr="00BF3B15">
        <w:rPr>
          <w:rFonts w:ascii="Palatino Linotype" w:hAnsi="Palatino Linotype"/>
        </w:rPr>
        <w:t>,</w:t>
      </w:r>
      <w:r w:rsidRPr="00BF3B15">
        <w:rPr>
          <w:rFonts w:ascii="Palatino Linotype" w:hAnsi="Palatino Linotype"/>
        </w:rPr>
        <w:t xml:space="preserve"> en fecha tres de diciembre de dos mil dieciocho, la Titu</w:t>
      </w:r>
      <w:bookmarkStart w:id="0" w:name="_GoBack"/>
      <w:bookmarkEnd w:id="0"/>
      <w:r w:rsidRPr="00BF3B15">
        <w:rPr>
          <w:rFonts w:ascii="Palatino Linotype" w:hAnsi="Palatino Linotype"/>
        </w:rPr>
        <w:t>lar de la Unidad de Transparencia</w:t>
      </w:r>
      <w:r w:rsidR="00841EE1" w:rsidRPr="00BF3B15">
        <w:rPr>
          <w:rFonts w:ascii="Palatino Linotype" w:hAnsi="Palatino Linotype"/>
        </w:rPr>
        <w:t>,</w:t>
      </w:r>
      <w:r w:rsidRPr="00BF3B15">
        <w:rPr>
          <w:rFonts w:ascii="Palatino Linotype" w:hAnsi="Palatino Linotype"/>
        </w:rPr>
        <w:t xml:space="preserve"> con </w:t>
      </w:r>
      <w:r w:rsidRPr="00BF3B15">
        <w:rPr>
          <w:rFonts w:ascii="Palatino Linotype" w:hAnsi="Palatino Linotype"/>
        </w:rPr>
        <w:lastRenderedPageBreak/>
        <w:t>fundamento en el artículo 159 de la Ley de Transparencia y acceso a la Información Pública del Estado de México y Municipios, requirió a la particular para que dentro del plazo de diez días hábiles aclarara su solicitud de información en los siguientes términos:</w:t>
      </w:r>
    </w:p>
    <w:p w:rsidR="003E5ABB" w:rsidRPr="00BF3B15" w:rsidRDefault="003E5ABB" w:rsidP="003E5ABB">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BF3B15">
        <w:rPr>
          <w:noProof/>
          <w:lang w:eastAsia="es-MX"/>
        </w:rPr>
        <w:drawing>
          <wp:inline distT="0" distB="0" distL="0" distR="0" wp14:anchorId="1C421293" wp14:editId="7EAB5B9C">
            <wp:extent cx="4984273" cy="2343379"/>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931" t="11413" r="22015" b="35235"/>
                    <a:stretch/>
                  </pic:blipFill>
                  <pic:spPr bwMode="auto">
                    <a:xfrm>
                      <a:off x="0" y="0"/>
                      <a:ext cx="5025649" cy="2362832"/>
                    </a:xfrm>
                    <a:prstGeom prst="rect">
                      <a:avLst/>
                    </a:prstGeom>
                    <a:ln>
                      <a:noFill/>
                    </a:ln>
                    <a:extLst>
                      <a:ext uri="{53640926-AAD7-44D8-BBD7-CCE9431645EC}">
                        <a14:shadowObscured xmlns:a14="http://schemas.microsoft.com/office/drawing/2010/main"/>
                      </a:ext>
                    </a:extLst>
                  </pic:spPr>
                </pic:pic>
              </a:graphicData>
            </a:graphic>
          </wp:inline>
        </w:drawing>
      </w:r>
    </w:p>
    <w:p w:rsidR="00BE32D8" w:rsidRPr="00BF3B15" w:rsidRDefault="00BE32D8" w:rsidP="003E5ABB">
      <w:pPr>
        <w:pStyle w:val="Prrafodelista"/>
        <w:tabs>
          <w:tab w:val="left" w:pos="567"/>
        </w:tabs>
        <w:spacing w:before="100" w:beforeAutospacing="1" w:after="100" w:afterAutospacing="1" w:line="360" w:lineRule="auto"/>
        <w:ind w:left="0"/>
        <w:contextualSpacing/>
        <w:jc w:val="both"/>
        <w:rPr>
          <w:rFonts w:ascii="Palatino Linotype" w:hAnsi="Palatino Linotype"/>
        </w:rPr>
      </w:pPr>
      <w:r w:rsidRPr="00BF3B15">
        <w:rPr>
          <w:rFonts w:ascii="Palatino Linotype" w:hAnsi="Palatino Linotype"/>
        </w:rPr>
        <w:t>En ese tenor, se advierte que la solicitante atendió el requerimiento en comento</w:t>
      </w:r>
      <w:r w:rsidR="00841EE1" w:rsidRPr="00BF3B15">
        <w:rPr>
          <w:rFonts w:ascii="Palatino Linotype" w:hAnsi="Palatino Linotype"/>
        </w:rPr>
        <w:t>,</w:t>
      </w:r>
      <w:r w:rsidRPr="00BF3B15">
        <w:rPr>
          <w:rFonts w:ascii="Palatino Linotype" w:hAnsi="Palatino Linotype"/>
        </w:rPr>
        <w:t xml:space="preserve"> en fecha cinco de diciembre de dos mil dieciocho</w:t>
      </w:r>
      <w:r w:rsidR="00841EE1" w:rsidRPr="00BF3B15">
        <w:rPr>
          <w:rFonts w:ascii="Palatino Linotype" w:hAnsi="Palatino Linotype"/>
        </w:rPr>
        <w:t>;</w:t>
      </w:r>
      <w:r w:rsidRPr="00BF3B15">
        <w:rPr>
          <w:rFonts w:ascii="Palatino Linotype" w:hAnsi="Palatino Linotype"/>
        </w:rPr>
        <w:t xml:space="preserve"> tal</w:t>
      </w:r>
      <w:r w:rsidR="00841EE1" w:rsidRPr="00BF3B15">
        <w:rPr>
          <w:rFonts w:ascii="Palatino Linotype" w:hAnsi="Palatino Linotype"/>
        </w:rPr>
        <w:t xml:space="preserve"> y</w:t>
      </w:r>
      <w:r w:rsidRPr="00BF3B15">
        <w:rPr>
          <w:rFonts w:ascii="Palatino Linotype" w:hAnsi="Palatino Linotype"/>
        </w:rPr>
        <w:t xml:space="preserve"> como se aprecia enseguida:</w:t>
      </w:r>
    </w:p>
    <w:p w:rsidR="00BE32D8" w:rsidRPr="00BF3B15" w:rsidRDefault="00BE32D8" w:rsidP="00BE32D8">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BF3B15">
        <w:rPr>
          <w:noProof/>
          <w:lang w:eastAsia="es-MX"/>
        </w:rPr>
        <w:drawing>
          <wp:inline distT="0" distB="0" distL="0" distR="0" wp14:anchorId="00BB838F" wp14:editId="1E3EFC1F">
            <wp:extent cx="4879822" cy="1744231"/>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982" t="33785" r="23573" b="32873"/>
                    <a:stretch/>
                  </pic:blipFill>
                  <pic:spPr bwMode="auto">
                    <a:xfrm>
                      <a:off x="0" y="0"/>
                      <a:ext cx="4950309" cy="1769426"/>
                    </a:xfrm>
                    <a:prstGeom prst="rect">
                      <a:avLst/>
                    </a:prstGeom>
                    <a:ln>
                      <a:noFill/>
                    </a:ln>
                    <a:extLst>
                      <a:ext uri="{53640926-AAD7-44D8-BBD7-CCE9431645EC}">
                        <a14:shadowObscured xmlns:a14="http://schemas.microsoft.com/office/drawing/2010/main"/>
                      </a:ext>
                    </a:extLst>
                  </pic:spPr>
                </pic:pic>
              </a:graphicData>
            </a:graphic>
          </wp:inline>
        </w:drawing>
      </w:r>
    </w:p>
    <w:p w:rsidR="00841EE1" w:rsidRPr="00BF3B15" w:rsidRDefault="00841EE1" w:rsidP="00841EE1">
      <w:pPr>
        <w:pStyle w:val="Prrafodelista"/>
        <w:tabs>
          <w:tab w:val="left" w:pos="567"/>
        </w:tabs>
        <w:spacing w:before="100" w:beforeAutospacing="1" w:after="100" w:afterAutospacing="1" w:line="360" w:lineRule="auto"/>
        <w:ind w:left="0"/>
        <w:jc w:val="both"/>
        <w:rPr>
          <w:rFonts w:ascii="Palatino Linotype" w:hAnsi="Palatino Linotype"/>
        </w:rPr>
      </w:pPr>
      <w:r w:rsidRPr="00BF3B15">
        <w:rPr>
          <w:rFonts w:ascii="Palatino Linotype" w:hAnsi="Palatino Linotype"/>
        </w:rPr>
        <w:t>Cabe precisar que, dicha ac</w:t>
      </w:r>
      <w:r w:rsidR="00EA713C" w:rsidRPr="00BF3B15">
        <w:rPr>
          <w:rFonts w:ascii="Palatino Linotype" w:hAnsi="Palatino Linotype"/>
        </w:rPr>
        <w:t>laración resultaba improcedente;</w:t>
      </w:r>
      <w:r w:rsidRPr="00BF3B15">
        <w:rPr>
          <w:rFonts w:ascii="Palatino Linotype" w:hAnsi="Palatino Linotype"/>
        </w:rPr>
        <w:t xml:space="preserve"> toda vez que</w:t>
      </w:r>
      <w:r w:rsidR="00EA713C" w:rsidRPr="00BF3B15">
        <w:rPr>
          <w:rFonts w:ascii="Palatino Linotype" w:hAnsi="Palatino Linotype"/>
        </w:rPr>
        <w:t>,</w:t>
      </w:r>
      <w:r w:rsidRPr="00BF3B15">
        <w:rPr>
          <w:rFonts w:ascii="Palatino Linotype" w:hAnsi="Palatino Linotype"/>
        </w:rPr>
        <w:t xml:space="preserve"> de conformidad con lo establecido en el artículo 159 de la Ley de Transparencia y Acceso a la Información Pública del Estado de México y Municipios, procederá dicho requerimiento cu</w:t>
      </w:r>
      <w:r w:rsidR="00EA713C" w:rsidRPr="00BF3B15">
        <w:rPr>
          <w:rFonts w:ascii="Palatino Linotype" w:hAnsi="Palatino Linotype"/>
        </w:rPr>
        <w:t>an</w:t>
      </w:r>
      <w:r w:rsidRPr="00BF3B15">
        <w:rPr>
          <w:rFonts w:ascii="Palatino Linotype" w:hAnsi="Palatino Linotype"/>
        </w:rPr>
        <w:t xml:space="preserve">do los detalles proporcionados para localizar los documentos solicitados resulten insuficientes, incompletos o erróneos; sin embargo, aun cuando de </w:t>
      </w:r>
      <w:r w:rsidRPr="00BF3B15">
        <w:rPr>
          <w:rFonts w:ascii="Palatino Linotype" w:hAnsi="Palatino Linotype"/>
        </w:rPr>
        <w:lastRenderedPageBreak/>
        <w:t xml:space="preserve">la solicitud de información pueden apreciarse requerimientos no muy claros, </w:t>
      </w:r>
      <w:r w:rsidRPr="00BF3B15">
        <w:rPr>
          <w:rFonts w:ascii="Palatino Linotype" w:hAnsi="Palatino Linotype"/>
          <w:b/>
        </w:rPr>
        <w:t xml:space="preserve">EL SUJETO OBLIGADO </w:t>
      </w:r>
      <w:r w:rsidR="003E3448" w:rsidRPr="00BF3B15">
        <w:rPr>
          <w:rFonts w:ascii="Palatino Linotype" w:hAnsi="Palatino Linotype"/>
        </w:rPr>
        <w:t>pretendió que</w:t>
      </w:r>
      <w:r w:rsidRPr="00BF3B15">
        <w:rPr>
          <w:rFonts w:ascii="Palatino Linotype" w:hAnsi="Palatino Linotype"/>
        </w:rPr>
        <w:t xml:space="preserve"> la particular aclarara </w:t>
      </w:r>
      <w:r w:rsidR="003E3448" w:rsidRPr="00BF3B15">
        <w:rPr>
          <w:rFonts w:ascii="Palatino Linotype" w:hAnsi="Palatino Linotype"/>
        </w:rPr>
        <w:t xml:space="preserve">un punto de la </w:t>
      </w:r>
      <w:r w:rsidR="00EA713C" w:rsidRPr="00BF3B15">
        <w:rPr>
          <w:rFonts w:ascii="Palatino Linotype" w:hAnsi="Palatino Linotype"/>
        </w:rPr>
        <w:t>solicitud que pudo ser subsanado</w:t>
      </w:r>
      <w:r w:rsidR="003E3448" w:rsidRPr="00BF3B15">
        <w:rPr>
          <w:rFonts w:ascii="Palatino Linotype" w:hAnsi="Palatino Linotype"/>
        </w:rPr>
        <w:t xml:space="preserve"> por </w:t>
      </w:r>
      <w:r w:rsidR="00EA713C" w:rsidRPr="00BF3B15">
        <w:rPr>
          <w:rFonts w:ascii="Palatino Linotype" w:hAnsi="Palatino Linotype"/>
        </w:rPr>
        <w:t>é</w:t>
      </w:r>
      <w:r w:rsidR="003E3448" w:rsidRPr="00BF3B15">
        <w:rPr>
          <w:rFonts w:ascii="Palatino Linotype" w:hAnsi="Palatino Linotype"/>
        </w:rPr>
        <w:t xml:space="preserve">ste. </w:t>
      </w:r>
    </w:p>
    <w:p w:rsidR="003E5ABB" w:rsidRPr="00BF3B15" w:rsidRDefault="009C6573" w:rsidP="003E5ABB">
      <w:pPr>
        <w:pStyle w:val="Prrafodelista"/>
        <w:tabs>
          <w:tab w:val="left" w:pos="567"/>
        </w:tabs>
        <w:spacing w:before="100" w:beforeAutospacing="1" w:after="100" w:afterAutospacing="1" w:line="360" w:lineRule="auto"/>
        <w:ind w:left="0"/>
        <w:contextualSpacing/>
        <w:jc w:val="both"/>
        <w:rPr>
          <w:rFonts w:ascii="Palatino Linotype" w:hAnsi="Palatino Linotype"/>
        </w:rPr>
      </w:pPr>
      <w:r w:rsidRPr="00BF3B15">
        <w:rPr>
          <w:rFonts w:ascii="Palatino Linotype" w:hAnsi="Palatino Linotype"/>
          <w:b/>
          <w:sz w:val="28"/>
          <w:szCs w:val="28"/>
        </w:rPr>
        <w:t>III.</w:t>
      </w:r>
      <w:r w:rsidRPr="00BF3B15">
        <w:rPr>
          <w:rFonts w:ascii="Palatino Linotype" w:hAnsi="Palatino Linotype"/>
        </w:rPr>
        <w:t xml:space="preserve"> En fecha siete de diciembre de </w:t>
      </w:r>
      <w:r w:rsidR="003E5ABB" w:rsidRPr="00BF3B15">
        <w:rPr>
          <w:rFonts w:ascii="Palatino Linotype" w:hAnsi="Palatino Linotype"/>
        </w:rPr>
        <w:t>dos mil dieciocho, la Unidad de Transparencia del</w:t>
      </w:r>
      <w:r w:rsidR="003E5ABB" w:rsidRPr="00BF3B15">
        <w:rPr>
          <w:rFonts w:ascii="Palatino Linotype" w:hAnsi="Palatino Linotype"/>
          <w:b/>
        </w:rPr>
        <w:t xml:space="preserve"> SUJETO OBLIGADO </w:t>
      </w:r>
      <w:r w:rsidR="003E5ABB" w:rsidRPr="00BF3B15">
        <w:rPr>
          <w:rFonts w:ascii="Palatino Linotype" w:hAnsi="Palatino Linotype"/>
        </w:rPr>
        <w:t>turnó mediante requerimiento, el contenido de la solicitud de información a</w:t>
      </w:r>
      <w:r w:rsidRPr="00BF3B15">
        <w:rPr>
          <w:rFonts w:ascii="Palatino Linotype" w:hAnsi="Palatino Linotype"/>
        </w:rPr>
        <w:t xml:space="preserve"> </w:t>
      </w:r>
      <w:r w:rsidR="003E5ABB" w:rsidRPr="00BF3B15">
        <w:rPr>
          <w:rFonts w:ascii="Palatino Linotype" w:hAnsi="Palatino Linotype"/>
        </w:rPr>
        <w:t>l</w:t>
      </w:r>
      <w:r w:rsidRPr="00BF3B15">
        <w:rPr>
          <w:rFonts w:ascii="Palatino Linotype" w:hAnsi="Palatino Linotype"/>
        </w:rPr>
        <w:t>a</w:t>
      </w:r>
      <w:r w:rsidR="003E5ABB" w:rsidRPr="00BF3B15">
        <w:rPr>
          <w:rFonts w:ascii="Palatino Linotype" w:hAnsi="Palatino Linotype"/>
        </w:rPr>
        <w:t xml:space="preserve"> Servidor</w:t>
      </w:r>
      <w:r w:rsidRPr="00BF3B15">
        <w:rPr>
          <w:rFonts w:ascii="Palatino Linotype" w:hAnsi="Palatino Linotype"/>
        </w:rPr>
        <w:t>a</w:t>
      </w:r>
      <w:r w:rsidR="003E5ABB" w:rsidRPr="00BF3B15">
        <w:rPr>
          <w:rFonts w:ascii="Palatino Linotype" w:hAnsi="Palatino Linotype"/>
        </w:rPr>
        <w:t xml:space="preserve"> Públic</w:t>
      </w:r>
      <w:r w:rsidRPr="00BF3B15">
        <w:rPr>
          <w:rFonts w:ascii="Palatino Linotype" w:hAnsi="Palatino Linotype"/>
        </w:rPr>
        <w:t>a</w:t>
      </w:r>
      <w:r w:rsidR="003E5ABB" w:rsidRPr="00BF3B15">
        <w:rPr>
          <w:rFonts w:ascii="Palatino Linotype" w:hAnsi="Palatino Linotype"/>
        </w:rPr>
        <w:t xml:space="preserve"> Habilitad</w:t>
      </w:r>
      <w:r w:rsidRPr="00BF3B15">
        <w:rPr>
          <w:rFonts w:ascii="Palatino Linotype" w:hAnsi="Palatino Linotype"/>
        </w:rPr>
        <w:t>a</w:t>
      </w:r>
      <w:r w:rsidR="003E5ABB" w:rsidRPr="00BF3B15">
        <w:rPr>
          <w:rFonts w:ascii="Palatino Linotype" w:hAnsi="Palatino Linotype"/>
        </w:rPr>
        <w:t xml:space="preserve"> que consideró competente</w:t>
      </w:r>
      <w:r w:rsidR="003E3448" w:rsidRPr="00BF3B15">
        <w:rPr>
          <w:rFonts w:ascii="Palatino Linotype" w:hAnsi="Palatino Linotype"/>
        </w:rPr>
        <w:t>,</w:t>
      </w:r>
      <w:r w:rsidR="003E5ABB" w:rsidRPr="00BF3B15">
        <w:rPr>
          <w:rFonts w:ascii="Palatino Linotype" w:hAnsi="Palatino Linotype"/>
        </w:rPr>
        <w:t xml:space="preserve"> a efecto de que realizara la búsqueda y localización de la información tal y como se desprende de la imagen </w:t>
      </w:r>
      <w:r w:rsidRPr="00BF3B15">
        <w:rPr>
          <w:rFonts w:ascii="Palatino Linotype" w:hAnsi="Palatino Linotype"/>
        </w:rPr>
        <w:t>inserta a continuación:</w:t>
      </w:r>
    </w:p>
    <w:p w:rsidR="009C6573" w:rsidRPr="00BF3B15" w:rsidRDefault="009C6573" w:rsidP="009C6573">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BF3B15">
        <w:rPr>
          <w:noProof/>
          <w:lang w:eastAsia="es-MX"/>
        </w:rPr>
        <w:drawing>
          <wp:inline distT="0" distB="0" distL="0" distR="0" wp14:anchorId="65208634" wp14:editId="44E8E915">
            <wp:extent cx="5592953" cy="663191"/>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599" t="40098" r="21061" b="48034"/>
                    <a:stretch/>
                  </pic:blipFill>
                  <pic:spPr bwMode="auto">
                    <a:xfrm>
                      <a:off x="0" y="0"/>
                      <a:ext cx="5723939" cy="678723"/>
                    </a:xfrm>
                    <a:prstGeom prst="rect">
                      <a:avLst/>
                    </a:prstGeom>
                    <a:ln>
                      <a:noFill/>
                    </a:ln>
                    <a:extLst>
                      <a:ext uri="{53640926-AAD7-44D8-BBD7-CCE9431645EC}">
                        <a14:shadowObscured xmlns:a14="http://schemas.microsoft.com/office/drawing/2010/main"/>
                      </a:ext>
                    </a:extLst>
                  </pic:spPr>
                </pic:pic>
              </a:graphicData>
            </a:graphic>
          </wp:inline>
        </w:drawing>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cs="Arial"/>
          <w:b/>
          <w:sz w:val="28"/>
          <w:szCs w:val="20"/>
        </w:rPr>
        <w:t>I</w:t>
      </w:r>
      <w:r w:rsidR="009C6573" w:rsidRPr="00BF3B15">
        <w:rPr>
          <w:rFonts w:ascii="Palatino Linotype" w:hAnsi="Palatino Linotype" w:cs="Arial"/>
          <w:b/>
          <w:sz w:val="28"/>
          <w:szCs w:val="20"/>
        </w:rPr>
        <w:t>V</w:t>
      </w:r>
      <w:r w:rsidRPr="00BF3B15">
        <w:rPr>
          <w:rFonts w:ascii="Palatino Linotype" w:hAnsi="Palatino Linotype" w:cs="Arial"/>
          <w:b/>
          <w:sz w:val="28"/>
          <w:szCs w:val="20"/>
        </w:rPr>
        <w:t>.</w:t>
      </w:r>
      <w:r w:rsidRPr="00BF3B15">
        <w:rPr>
          <w:rFonts w:ascii="Palatino Linotype" w:hAnsi="Palatino Linotype" w:cs="Arial"/>
          <w:szCs w:val="20"/>
        </w:rPr>
        <w:t xml:space="preserve"> De las constancias que obran en el expediente electrónico del </w:t>
      </w:r>
      <w:r w:rsidRPr="00BF3B15">
        <w:rPr>
          <w:rFonts w:ascii="Palatino Linotype" w:hAnsi="Palatino Linotype" w:cs="Arial"/>
          <w:b/>
          <w:szCs w:val="20"/>
        </w:rPr>
        <w:t>SAIMEX</w:t>
      </w:r>
      <w:r w:rsidRPr="00BF3B15">
        <w:rPr>
          <w:rFonts w:ascii="Palatino Linotype" w:hAnsi="Palatino Linotype" w:cs="Arial"/>
          <w:szCs w:val="20"/>
        </w:rPr>
        <w:t xml:space="preserve">, se advierte </w:t>
      </w:r>
      <w:r w:rsidRPr="00BF3B15">
        <w:rPr>
          <w:rFonts w:ascii="Palatino Linotype" w:hAnsi="Palatino Linotype"/>
        </w:rPr>
        <w:t>que</w:t>
      </w:r>
      <w:r w:rsidRPr="00BF3B15">
        <w:rPr>
          <w:rFonts w:ascii="Palatino Linotype" w:hAnsi="Palatino Linotype" w:cs="Arial"/>
        </w:rPr>
        <w:t xml:space="preserve"> </w:t>
      </w:r>
      <w:r w:rsidRPr="00BF3B15">
        <w:rPr>
          <w:rFonts w:ascii="Palatino Linotype" w:hAnsi="Palatino Linotype" w:cs="Arial"/>
          <w:b/>
        </w:rPr>
        <w:t>EL SUJETO OBLIGADO</w:t>
      </w:r>
      <w:r w:rsidR="003E3448" w:rsidRPr="00BF3B15">
        <w:rPr>
          <w:rFonts w:ascii="Palatino Linotype" w:hAnsi="Palatino Linotype" w:cs="Arial"/>
          <w:b/>
        </w:rPr>
        <w:t>,</w:t>
      </w:r>
      <w:r w:rsidRPr="00BF3B15">
        <w:rPr>
          <w:rFonts w:ascii="Palatino Linotype" w:hAnsi="Palatino Linotype" w:cs="Arial"/>
        </w:rPr>
        <w:t xml:space="preserve"> </w:t>
      </w:r>
      <w:r w:rsidR="009C6573" w:rsidRPr="00BF3B15">
        <w:rPr>
          <w:rFonts w:ascii="Palatino Linotype" w:hAnsi="Palatino Linotype" w:cs="Arial"/>
        </w:rPr>
        <w:t>en fecha once de enero de dos mil diecinueve</w:t>
      </w:r>
      <w:r w:rsidR="009C6573" w:rsidRPr="00BF3B15">
        <w:rPr>
          <w:rFonts w:ascii="Palatino Linotype" w:hAnsi="Palatino Linotype"/>
        </w:rPr>
        <w:t>,</w:t>
      </w:r>
      <w:r w:rsidR="009C6573" w:rsidRPr="00BF3B15">
        <w:rPr>
          <w:rFonts w:ascii="Palatino Linotype" w:hAnsi="Palatino Linotype" w:cs="Arial"/>
        </w:rPr>
        <w:t xml:space="preserve"> </w:t>
      </w:r>
      <w:r w:rsidRPr="00BF3B15">
        <w:rPr>
          <w:rFonts w:ascii="Palatino Linotype" w:hAnsi="Palatino Linotype" w:cs="Arial"/>
        </w:rPr>
        <w:t xml:space="preserve">dio respuesta a la </w:t>
      </w:r>
      <w:r w:rsidRPr="00BF3B15">
        <w:rPr>
          <w:rFonts w:ascii="Palatino Linotype" w:hAnsi="Palatino Linotype"/>
        </w:rPr>
        <w:t>solicitud</w:t>
      </w:r>
      <w:r w:rsidRPr="00BF3B15">
        <w:rPr>
          <w:rFonts w:ascii="Palatino Linotype" w:hAnsi="Palatino Linotype" w:cs="Arial"/>
        </w:rPr>
        <w:t xml:space="preserve"> de </w:t>
      </w:r>
      <w:r w:rsidRPr="00BF3B15">
        <w:rPr>
          <w:rFonts w:ascii="Palatino Linotype" w:hAnsi="Palatino Linotype"/>
        </w:rPr>
        <w:t>acceso</w:t>
      </w:r>
      <w:r w:rsidRPr="00BF3B15">
        <w:rPr>
          <w:rFonts w:ascii="Palatino Linotype" w:hAnsi="Palatino Linotype" w:cs="Arial"/>
        </w:rPr>
        <w:t xml:space="preserve"> a la información pública requerida por </w:t>
      </w:r>
      <w:r w:rsidR="009C6573" w:rsidRPr="00BF3B15">
        <w:rPr>
          <w:rFonts w:ascii="Palatino Linotype" w:hAnsi="Palatino Linotype" w:cs="Arial"/>
          <w:b/>
        </w:rPr>
        <w:t xml:space="preserve">LA </w:t>
      </w:r>
      <w:r w:rsidRPr="00BF3B15">
        <w:rPr>
          <w:rFonts w:ascii="Palatino Linotype" w:hAnsi="Palatino Linotype" w:cs="Arial"/>
          <w:b/>
        </w:rPr>
        <w:t>RECURRENTE</w:t>
      </w:r>
      <w:r w:rsidRPr="00BF3B15">
        <w:rPr>
          <w:rFonts w:ascii="Palatino Linotype" w:hAnsi="Palatino Linotype" w:cs="Arial"/>
        </w:rPr>
        <w:t xml:space="preserve">, </w:t>
      </w:r>
      <w:r w:rsidR="009C6573" w:rsidRPr="00BF3B15">
        <w:rPr>
          <w:rFonts w:ascii="Palatino Linotype" w:hAnsi="Palatino Linotype" w:cs="Arial"/>
        </w:rPr>
        <w:t xml:space="preserve">en </w:t>
      </w:r>
      <w:r w:rsidRPr="00BF3B15">
        <w:rPr>
          <w:rFonts w:ascii="Palatino Linotype" w:hAnsi="Palatino Linotype" w:cs="Arial"/>
        </w:rPr>
        <w:t>la</w:t>
      </w:r>
      <w:r w:rsidR="009C6573" w:rsidRPr="00BF3B15">
        <w:rPr>
          <w:rFonts w:ascii="Palatino Linotype" w:hAnsi="Palatino Linotype" w:cs="Arial"/>
        </w:rPr>
        <w:t xml:space="preserve"> cual señaló</w:t>
      </w:r>
      <w:r w:rsidRPr="00BF3B15">
        <w:rPr>
          <w:rFonts w:ascii="Palatino Linotype" w:hAnsi="Palatino Linotype" w:cs="Arial"/>
        </w:rPr>
        <w:t xml:space="preserve"> lo siguiente:</w:t>
      </w:r>
    </w:p>
    <w:p w:rsidR="003E5ABB" w:rsidRPr="00BF3B15" w:rsidRDefault="006F4329" w:rsidP="003E5ABB">
      <w:pPr>
        <w:pStyle w:val="Prrafodelista"/>
        <w:tabs>
          <w:tab w:val="left" w:pos="567"/>
        </w:tabs>
        <w:spacing w:before="100" w:beforeAutospacing="1" w:after="100" w:afterAutospacing="1" w:line="360" w:lineRule="auto"/>
        <w:ind w:left="0"/>
        <w:jc w:val="center"/>
        <w:rPr>
          <w:rFonts w:ascii="Palatino Linotype" w:hAnsi="Palatino Linotype" w:cs="Arial"/>
        </w:rPr>
      </w:pPr>
      <w:r w:rsidRPr="006F4329">
        <w:rPr>
          <w:noProof/>
          <w:lang w:eastAsia="es-MX"/>
        </w:rPr>
        <w:t xml:space="preserve"> </w:t>
      </w:r>
      <w:r>
        <w:rPr>
          <w:noProof/>
          <w:lang w:eastAsia="es-MX"/>
        </w:rPr>
        <w:drawing>
          <wp:inline distT="0" distB="0" distL="0" distR="0" wp14:anchorId="79CF76B0" wp14:editId="5F9790CB">
            <wp:extent cx="4673615" cy="1959429"/>
            <wp:effectExtent l="0" t="0" r="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836" t="31153" r="13167" b="15189"/>
                    <a:stretch/>
                  </pic:blipFill>
                  <pic:spPr bwMode="auto">
                    <a:xfrm>
                      <a:off x="0" y="0"/>
                      <a:ext cx="4684871" cy="1964148"/>
                    </a:xfrm>
                    <a:prstGeom prst="rect">
                      <a:avLst/>
                    </a:prstGeom>
                    <a:ln>
                      <a:noFill/>
                    </a:ln>
                    <a:extLst>
                      <a:ext uri="{53640926-AAD7-44D8-BBD7-CCE9431645EC}">
                        <a14:shadowObscured xmlns:a14="http://schemas.microsoft.com/office/drawing/2010/main"/>
                      </a:ext>
                    </a:extLst>
                  </pic:spPr>
                </pic:pic>
              </a:graphicData>
            </a:graphic>
          </wp:inline>
        </w:drawing>
      </w:r>
    </w:p>
    <w:p w:rsidR="003E5ABB" w:rsidRPr="00BF3B15" w:rsidRDefault="003E5ABB" w:rsidP="003E5ABB">
      <w:pPr>
        <w:tabs>
          <w:tab w:val="left" w:pos="567"/>
        </w:tabs>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Asimismo, </w:t>
      </w:r>
      <w:r w:rsidRPr="00BF3B15">
        <w:rPr>
          <w:rFonts w:ascii="Palatino Linotype" w:hAnsi="Palatino Linotype" w:cs="Arial"/>
          <w:b/>
        </w:rPr>
        <w:t>EL SUJETO OBLIGADO</w:t>
      </w:r>
      <w:r w:rsidRPr="00BF3B15">
        <w:rPr>
          <w:rFonts w:ascii="Palatino Linotype" w:hAnsi="Palatino Linotype" w:cs="Arial"/>
        </w:rPr>
        <w:t xml:space="preserve"> adjuntó </w:t>
      </w:r>
      <w:r w:rsidR="009C6573" w:rsidRPr="00BF3B15">
        <w:rPr>
          <w:rFonts w:ascii="Palatino Linotype" w:hAnsi="Palatino Linotype" w:cs="Arial"/>
        </w:rPr>
        <w:t xml:space="preserve">tres archivos electrónicos </w:t>
      </w:r>
      <w:r w:rsidRPr="00BF3B15">
        <w:rPr>
          <w:rFonts w:ascii="Palatino Linotype" w:hAnsi="Palatino Linotype"/>
        </w:rPr>
        <w:t>denominado</w:t>
      </w:r>
      <w:r w:rsidR="009C6573" w:rsidRPr="00BF3B15">
        <w:rPr>
          <w:rFonts w:ascii="Palatino Linotype" w:hAnsi="Palatino Linotype"/>
        </w:rPr>
        <w:t>s</w:t>
      </w:r>
      <w:r w:rsidRPr="00BF3B15">
        <w:rPr>
          <w:rFonts w:ascii="Palatino Linotype" w:hAnsi="Palatino Linotype"/>
        </w:rPr>
        <w:t xml:space="preserve"> </w:t>
      </w:r>
      <w:hyperlink r:id="rId12" w:tgtFrame="_blank" w:history="1">
        <w:r w:rsidR="009C6573" w:rsidRPr="00BF3B15">
          <w:rPr>
            <w:rFonts w:ascii="Palatino Linotype" w:hAnsi="Palatino Linotype"/>
            <w:i/>
          </w:rPr>
          <w:t>VMS253IP18ada.PDF</w:t>
        </w:r>
      </w:hyperlink>
      <w:r w:rsidR="009C6573" w:rsidRPr="00BF3B15">
        <w:rPr>
          <w:rFonts w:ascii="Palatino Linotype" w:hAnsi="Palatino Linotype"/>
          <w:i/>
        </w:rPr>
        <w:t xml:space="preserve">, </w:t>
      </w:r>
      <w:hyperlink r:id="rId13" w:tgtFrame="_blank" w:history="1">
        <w:r w:rsidR="009C6573" w:rsidRPr="00BF3B15">
          <w:rPr>
            <w:rFonts w:ascii="Palatino Linotype" w:hAnsi="Palatino Linotype"/>
            <w:i/>
          </w:rPr>
          <w:t>VMS253IP18.pdf</w:t>
        </w:r>
      </w:hyperlink>
      <w:r w:rsidR="009C6573" w:rsidRPr="00BF3B15">
        <w:rPr>
          <w:rFonts w:ascii="Palatino Linotype" w:hAnsi="Palatino Linotype"/>
          <w:i/>
        </w:rPr>
        <w:t xml:space="preserve"> y </w:t>
      </w:r>
      <w:hyperlink r:id="rId14" w:tgtFrame="_blank" w:history="1">
        <w:r w:rsidR="009C6573" w:rsidRPr="00BF3B15">
          <w:rPr>
            <w:rFonts w:ascii="Palatino Linotype" w:hAnsi="Palatino Linotype"/>
            <w:i/>
          </w:rPr>
          <w:t>Acta_CT_29.pdf</w:t>
        </w:r>
      </w:hyperlink>
      <w:r w:rsidR="009C6573" w:rsidRPr="00BF3B15">
        <w:rPr>
          <w:rFonts w:ascii="Palatino Linotype" w:hAnsi="Palatino Linotype"/>
          <w:i/>
        </w:rPr>
        <w:t xml:space="preserve">, </w:t>
      </w:r>
      <w:r w:rsidRPr="00BF3B15">
        <w:rPr>
          <w:rFonts w:ascii="Palatino Linotype" w:hAnsi="Palatino Linotype" w:cs="Arial"/>
        </w:rPr>
        <w:t>mismo que contiene lo que a continuación se describe:</w:t>
      </w:r>
    </w:p>
    <w:p w:rsidR="009C6573" w:rsidRPr="00BF3B15" w:rsidRDefault="006F4329" w:rsidP="003E5ABB">
      <w:pPr>
        <w:pStyle w:val="Prrafodelista"/>
        <w:numPr>
          <w:ilvl w:val="0"/>
          <w:numId w:val="1"/>
        </w:numPr>
        <w:tabs>
          <w:tab w:val="left" w:pos="567"/>
        </w:tabs>
        <w:spacing w:before="100" w:beforeAutospacing="1" w:after="100" w:afterAutospacing="1" w:line="360" w:lineRule="auto"/>
        <w:ind w:left="851" w:right="49" w:hanging="11"/>
        <w:jc w:val="both"/>
        <w:rPr>
          <w:rFonts w:ascii="Palatino Linotype" w:hAnsi="Palatino Linotype" w:cs="Arial"/>
        </w:rPr>
      </w:pPr>
      <w:hyperlink r:id="rId15" w:tgtFrame="_blank" w:history="1">
        <w:r w:rsidR="009C6573" w:rsidRPr="00BF3B15">
          <w:rPr>
            <w:rFonts w:ascii="Palatino Linotype" w:hAnsi="Palatino Linotype"/>
            <w:i/>
          </w:rPr>
          <w:t>VMS253IP18ada.PDF</w:t>
        </w:r>
      </w:hyperlink>
      <w:r w:rsidR="009C6573" w:rsidRPr="00BF3B15">
        <w:rPr>
          <w:rFonts w:ascii="Palatino Linotype" w:hAnsi="Palatino Linotype"/>
          <w:i/>
        </w:rPr>
        <w:t xml:space="preserve">, </w:t>
      </w:r>
      <w:r w:rsidR="008E42A1" w:rsidRPr="00BF3B15">
        <w:rPr>
          <w:rFonts w:ascii="Palatino Linotype" w:hAnsi="Palatino Linotype"/>
        </w:rPr>
        <w:t>el oficio número UT/MET/034/2019, signado por el Jefe de la Unidad de Transparencia, mediante el cual informó a la particular que adjuntaba el Acuerdo de Clasificación de la información emitido</w:t>
      </w:r>
      <w:r w:rsidR="003E3448" w:rsidRPr="00BF3B15">
        <w:rPr>
          <w:rFonts w:ascii="Palatino Linotype" w:hAnsi="Palatino Linotype"/>
        </w:rPr>
        <w:t>,</w:t>
      </w:r>
      <w:r w:rsidR="008E42A1" w:rsidRPr="00BF3B15">
        <w:rPr>
          <w:rFonts w:ascii="Palatino Linotype" w:hAnsi="Palatino Linotype"/>
        </w:rPr>
        <w:t xml:space="preserve"> por el Comité de Transparencia.</w:t>
      </w:r>
    </w:p>
    <w:p w:rsidR="008E42A1" w:rsidRPr="00BF3B15" w:rsidRDefault="006F4329" w:rsidP="003E5ABB">
      <w:pPr>
        <w:pStyle w:val="Prrafodelista"/>
        <w:numPr>
          <w:ilvl w:val="0"/>
          <w:numId w:val="1"/>
        </w:numPr>
        <w:tabs>
          <w:tab w:val="left" w:pos="567"/>
        </w:tabs>
        <w:spacing w:before="100" w:beforeAutospacing="1" w:after="100" w:afterAutospacing="1" w:line="360" w:lineRule="auto"/>
        <w:ind w:left="851" w:right="49" w:hanging="11"/>
        <w:jc w:val="both"/>
        <w:rPr>
          <w:rFonts w:ascii="Palatino Linotype" w:hAnsi="Palatino Linotype" w:cs="Arial"/>
        </w:rPr>
      </w:pPr>
      <w:hyperlink r:id="rId16" w:tgtFrame="_blank" w:history="1">
        <w:r w:rsidR="008E42A1" w:rsidRPr="00BF3B15">
          <w:rPr>
            <w:rFonts w:ascii="Palatino Linotype" w:hAnsi="Palatino Linotype"/>
            <w:i/>
          </w:rPr>
          <w:t>VMS253IP18.pdf</w:t>
        </w:r>
      </w:hyperlink>
      <w:r w:rsidR="008E42A1" w:rsidRPr="00BF3B15">
        <w:rPr>
          <w:rFonts w:ascii="Palatino Linotype" w:hAnsi="Palatino Linotype"/>
          <w:i/>
        </w:rPr>
        <w:t xml:space="preserve">, </w:t>
      </w:r>
      <w:r w:rsidR="008E42A1" w:rsidRPr="00BF3B15">
        <w:rPr>
          <w:rFonts w:ascii="Palatino Linotype" w:hAnsi="Palatino Linotype"/>
        </w:rPr>
        <w:t>archivo que contiene el oficio descrito en el párrafo anterior; sin embargo, no contiene el sello y la firma del Jefe del a Unidad de Transparencia.</w:t>
      </w:r>
    </w:p>
    <w:p w:rsidR="008E42A1" w:rsidRPr="00BF3B15" w:rsidRDefault="006F4329" w:rsidP="003E5ABB">
      <w:pPr>
        <w:pStyle w:val="Prrafodelista"/>
        <w:numPr>
          <w:ilvl w:val="0"/>
          <w:numId w:val="1"/>
        </w:numPr>
        <w:tabs>
          <w:tab w:val="left" w:pos="567"/>
        </w:tabs>
        <w:spacing w:before="100" w:beforeAutospacing="1" w:after="100" w:afterAutospacing="1" w:line="360" w:lineRule="auto"/>
        <w:ind w:left="851" w:right="49" w:hanging="11"/>
        <w:jc w:val="both"/>
        <w:rPr>
          <w:rFonts w:ascii="Palatino Linotype" w:hAnsi="Palatino Linotype" w:cs="Arial"/>
        </w:rPr>
      </w:pPr>
      <w:hyperlink r:id="rId17" w:tgtFrame="_blank" w:history="1">
        <w:r w:rsidR="008E42A1" w:rsidRPr="00BF3B15">
          <w:rPr>
            <w:rFonts w:ascii="Palatino Linotype" w:hAnsi="Palatino Linotype"/>
            <w:i/>
          </w:rPr>
          <w:t>Acta_CT_29.pdf</w:t>
        </w:r>
      </w:hyperlink>
      <w:r w:rsidR="008E42A1" w:rsidRPr="00BF3B15">
        <w:rPr>
          <w:rFonts w:ascii="Palatino Linotype" w:hAnsi="Palatino Linotype"/>
          <w:i/>
        </w:rPr>
        <w:t xml:space="preserve">, </w:t>
      </w:r>
      <w:r w:rsidR="008E42A1" w:rsidRPr="00BF3B15">
        <w:rPr>
          <w:rFonts w:ascii="Palatino Linotype" w:hAnsi="Palatino Linotype"/>
        </w:rPr>
        <w:t xml:space="preserve">contiene el Acta </w:t>
      </w:r>
      <w:r w:rsidR="003E3448" w:rsidRPr="00BF3B15">
        <w:rPr>
          <w:rFonts w:ascii="Palatino Linotype" w:hAnsi="Palatino Linotype"/>
        </w:rPr>
        <w:t xml:space="preserve">número CTMET/029/2018 correspondiente a </w:t>
      </w:r>
      <w:r w:rsidR="008E42A1" w:rsidRPr="00BF3B15">
        <w:rPr>
          <w:rFonts w:ascii="Palatino Linotype" w:hAnsi="Palatino Linotype"/>
        </w:rPr>
        <w:t>la Vigésima Novena Sesión Ordinaria</w:t>
      </w:r>
      <w:r w:rsidR="003E3448" w:rsidRPr="00BF3B15">
        <w:rPr>
          <w:rFonts w:ascii="Palatino Linotype" w:hAnsi="Palatino Linotype"/>
        </w:rPr>
        <w:t>,</w:t>
      </w:r>
      <w:r w:rsidR="008E42A1" w:rsidRPr="00BF3B15">
        <w:rPr>
          <w:rFonts w:ascii="Palatino Linotype" w:hAnsi="Palatino Linotype"/>
        </w:rPr>
        <w:t xml:space="preserve"> de fecha doce de diciembre de dos mil dieciocho, mediante la cual el Comité de Transparencia determinó clasificar la información solicitada </w:t>
      </w:r>
      <w:r w:rsidR="003E3448" w:rsidRPr="00BF3B15">
        <w:rPr>
          <w:rFonts w:ascii="Palatino Linotype" w:hAnsi="Palatino Linotype"/>
        </w:rPr>
        <w:t>como</w:t>
      </w:r>
      <w:r w:rsidR="008E42A1" w:rsidRPr="00BF3B15">
        <w:rPr>
          <w:rFonts w:ascii="Palatino Linotype" w:hAnsi="Palatino Linotype"/>
        </w:rPr>
        <w:t xml:space="preserve"> reservada por seis meses.</w:t>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cs="Arial"/>
          <w:b/>
          <w:sz w:val="28"/>
          <w:szCs w:val="28"/>
        </w:rPr>
        <w:t>V.</w:t>
      </w:r>
      <w:r w:rsidRPr="00BF3B15">
        <w:rPr>
          <w:rFonts w:ascii="Palatino Linotype" w:hAnsi="Palatino Linotype" w:cs="Arial"/>
        </w:rPr>
        <w:t xml:space="preserve"> Inconforme</w:t>
      </w:r>
      <w:r w:rsidRPr="00BF3B15">
        <w:rPr>
          <w:rFonts w:ascii="Palatino Linotype" w:hAnsi="Palatino Linotype"/>
        </w:rPr>
        <w:t xml:space="preserve"> con la </w:t>
      </w:r>
      <w:r w:rsidRPr="00BF3B15">
        <w:rPr>
          <w:rFonts w:ascii="Palatino Linotype" w:hAnsi="Palatino Linotype" w:cs="Arial"/>
        </w:rPr>
        <w:t xml:space="preserve">respuesta </w:t>
      </w:r>
      <w:r w:rsidRPr="00BF3B15">
        <w:rPr>
          <w:rFonts w:ascii="Palatino Linotype" w:hAnsi="Palatino Linotype"/>
        </w:rPr>
        <w:t xml:space="preserve">del </w:t>
      </w:r>
      <w:r w:rsidRPr="00BF3B15">
        <w:rPr>
          <w:rFonts w:ascii="Palatino Linotype" w:hAnsi="Palatino Linotype"/>
          <w:b/>
        </w:rPr>
        <w:t>SUJETO OBLIGADO</w:t>
      </w:r>
      <w:r w:rsidRPr="00BF3B15">
        <w:rPr>
          <w:rFonts w:ascii="Palatino Linotype" w:hAnsi="Palatino Linotype"/>
        </w:rPr>
        <w:t xml:space="preserve">, el </w:t>
      </w:r>
      <w:r w:rsidR="008E42A1" w:rsidRPr="00BF3B15">
        <w:rPr>
          <w:rFonts w:ascii="Palatino Linotype" w:hAnsi="Palatino Linotype"/>
        </w:rPr>
        <w:t>treinta de enero de dos mil diecinueve</w:t>
      </w:r>
      <w:r w:rsidRPr="00BF3B15">
        <w:rPr>
          <w:rFonts w:ascii="Palatino Linotype" w:hAnsi="Palatino Linotype"/>
        </w:rPr>
        <w:t xml:space="preserve">, </w:t>
      </w:r>
      <w:r w:rsidR="008E42A1" w:rsidRPr="00BF3B15">
        <w:rPr>
          <w:rFonts w:ascii="Palatino Linotype" w:hAnsi="Palatino Linotype"/>
          <w:b/>
        </w:rPr>
        <w:t>LA</w:t>
      </w:r>
      <w:r w:rsidRPr="00BF3B15">
        <w:rPr>
          <w:rFonts w:ascii="Palatino Linotype" w:hAnsi="Palatino Linotype"/>
          <w:b/>
        </w:rPr>
        <w:t xml:space="preserve"> RECURRENTE</w:t>
      </w:r>
      <w:r w:rsidRPr="00BF3B15">
        <w:rPr>
          <w:rFonts w:ascii="Palatino Linotype" w:hAnsi="Palatino Linotype"/>
        </w:rPr>
        <w:t xml:space="preserve"> mediante </w:t>
      </w:r>
      <w:r w:rsidRPr="00BF3B15">
        <w:rPr>
          <w:rFonts w:ascii="Palatino Linotype" w:hAnsi="Palatino Linotype"/>
          <w:b/>
        </w:rPr>
        <w:t xml:space="preserve">EL SAIMEX </w:t>
      </w:r>
      <w:r w:rsidRPr="00BF3B15">
        <w:rPr>
          <w:rFonts w:ascii="Palatino Linotype" w:hAnsi="Palatino Linotype"/>
        </w:rPr>
        <w:t xml:space="preserve">interpuso el recurso de revisión objeto del </w:t>
      </w:r>
      <w:r w:rsidRPr="00BF3B15">
        <w:rPr>
          <w:rFonts w:ascii="Palatino Linotype" w:hAnsi="Palatino Linotype" w:cs="Arial"/>
        </w:rPr>
        <w:t>presente</w:t>
      </w:r>
      <w:r w:rsidRPr="00BF3B15">
        <w:rPr>
          <w:rFonts w:ascii="Palatino Linotype" w:hAnsi="Palatino Linotype"/>
        </w:rPr>
        <w:t xml:space="preserve"> estudio, al que se le asignó el </w:t>
      </w:r>
      <w:r w:rsidRPr="00BF3B15">
        <w:rPr>
          <w:rFonts w:ascii="Palatino Linotype" w:hAnsi="Palatino Linotype" w:cs="Arial"/>
        </w:rPr>
        <w:t xml:space="preserve">número </w:t>
      </w:r>
      <w:r w:rsidR="008E42A1" w:rsidRPr="00BF3B15">
        <w:rPr>
          <w:rFonts w:ascii="Palatino Linotype" w:hAnsi="Palatino Linotype" w:cs="Arial"/>
          <w:b/>
          <w:bCs/>
          <w:lang w:val="es-ES_tradnl"/>
        </w:rPr>
        <w:t>00332</w:t>
      </w:r>
      <w:r w:rsidRPr="00BF3B15">
        <w:rPr>
          <w:rFonts w:ascii="Palatino Linotype" w:hAnsi="Palatino Linotype" w:cs="Arial"/>
          <w:b/>
          <w:bCs/>
          <w:lang w:val="es-ES_tradnl"/>
        </w:rPr>
        <w:t>/INFOEM/IP/RR/201</w:t>
      </w:r>
      <w:r w:rsidR="008E42A1" w:rsidRPr="00BF3B15">
        <w:rPr>
          <w:rFonts w:ascii="Palatino Linotype" w:hAnsi="Palatino Linotype" w:cs="Arial"/>
          <w:b/>
          <w:bCs/>
          <w:lang w:val="es-ES_tradnl"/>
        </w:rPr>
        <w:t>9</w:t>
      </w:r>
      <w:r w:rsidRPr="00BF3B15">
        <w:rPr>
          <w:rFonts w:ascii="Palatino Linotype" w:hAnsi="Palatino Linotype" w:cs="Arial"/>
        </w:rPr>
        <w:t>, en el que señaló como acto impugnado, lo siguiente:</w:t>
      </w:r>
    </w:p>
    <w:p w:rsidR="003E5ABB" w:rsidRPr="00BF3B15" w:rsidRDefault="003E5ABB" w:rsidP="008E42A1">
      <w:pPr>
        <w:spacing w:before="100" w:beforeAutospacing="1" w:after="100" w:afterAutospacing="1"/>
        <w:ind w:left="709" w:right="709"/>
        <w:jc w:val="both"/>
        <w:rPr>
          <w:rFonts w:ascii="Palatino Linotype" w:hAnsi="Palatino Linotype" w:cs="Arial"/>
          <w:i/>
          <w:sz w:val="22"/>
          <w:szCs w:val="22"/>
        </w:rPr>
      </w:pPr>
      <w:r w:rsidRPr="00BF3B15">
        <w:rPr>
          <w:rFonts w:ascii="Palatino Linotype" w:hAnsi="Palatino Linotype" w:cs="Arial"/>
          <w:i/>
          <w:sz w:val="22"/>
          <w:szCs w:val="22"/>
        </w:rPr>
        <w:t>“</w:t>
      </w:r>
      <w:r w:rsidR="008E42A1" w:rsidRPr="00BF3B15">
        <w:rPr>
          <w:rFonts w:ascii="Palatino Linotype" w:hAnsi="Palatino Linotype" w:cs="Arial"/>
          <w:i/>
          <w:sz w:val="22"/>
          <w:szCs w:val="22"/>
        </w:rPr>
        <w:t>CLASIFICACIÓN DE INFORMACIÓN</w:t>
      </w:r>
      <w:r w:rsidRPr="00BF3B15">
        <w:rPr>
          <w:rFonts w:ascii="Palatino Linotype" w:hAnsi="Palatino Linotype" w:cs="Arial"/>
          <w:i/>
          <w:sz w:val="22"/>
          <w:szCs w:val="22"/>
        </w:rPr>
        <w:t>.</w:t>
      </w:r>
      <w:r w:rsidRPr="00BF3B15">
        <w:rPr>
          <w:rFonts w:ascii="Palatino Linotype" w:hAnsi="Palatino Linotype" w:cs="Arial"/>
          <w:i/>
          <w:sz w:val="22"/>
          <w:szCs w:val="22"/>
          <w:lang w:eastAsia="es-MX"/>
        </w:rPr>
        <w:t xml:space="preserve">” </w:t>
      </w:r>
      <w:r w:rsidRPr="00BF3B15">
        <w:rPr>
          <w:rFonts w:ascii="Palatino Linotype" w:hAnsi="Palatino Linotype" w:cs="Arial"/>
          <w:i/>
          <w:sz w:val="22"/>
          <w:szCs w:val="22"/>
        </w:rPr>
        <w:t>(Sic)</w:t>
      </w:r>
    </w:p>
    <w:p w:rsidR="003E5ABB" w:rsidRPr="00BF3B15" w:rsidRDefault="003E5ABB" w:rsidP="003E5ABB">
      <w:pPr>
        <w:pStyle w:val="Prrafodelista"/>
        <w:spacing w:before="100" w:beforeAutospacing="1" w:after="100" w:afterAutospacing="1" w:line="360" w:lineRule="auto"/>
        <w:ind w:left="0"/>
        <w:jc w:val="both"/>
        <w:rPr>
          <w:rFonts w:ascii="Palatino Linotype" w:hAnsi="Palatino Linotype"/>
        </w:rPr>
      </w:pPr>
      <w:r w:rsidRPr="00BF3B15">
        <w:rPr>
          <w:rFonts w:ascii="Palatino Linotype" w:hAnsi="Palatino Linotype" w:cs="Arial"/>
        </w:rPr>
        <w:t>Asimismo</w:t>
      </w:r>
      <w:r w:rsidRPr="00BF3B15">
        <w:rPr>
          <w:rFonts w:ascii="Palatino Linotype" w:hAnsi="Palatino Linotype"/>
        </w:rPr>
        <w:t xml:space="preserve">, </w:t>
      </w:r>
      <w:r w:rsidR="008E42A1" w:rsidRPr="00BF3B15">
        <w:rPr>
          <w:rFonts w:ascii="Palatino Linotype" w:hAnsi="Palatino Linotype" w:cs="Arial"/>
          <w:b/>
        </w:rPr>
        <w:t xml:space="preserve">LA </w:t>
      </w:r>
      <w:r w:rsidRPr="00BF3B15">
        <w:rPr>
          <w:rFonts w:ascii="Palatino Linotype" w:hAnsi="Palatino Linotype" w:cs="Arial"/>
          <w:b/>
        </w:rPr>
        <w:t>RECURRENTE</w:t>
      </w:r>
      <w:r w:rsidRPr="00BF3B15">
        <w:rPr>
          <w:rFonts w:ascii="Palatino Linotype" w:hAnsi="Palatino Linotype"/>
        </w:rPr>
        <w:t xml:space="preserve"> indicó como razones o motivos de inconformidad: </w:t>
      </w:r>
    </w:p>
    <w:p w:rsidR="003E5ABB" w:rsidRPr="00BF3B15" w:rsidRDefault="003E5ABB" w:rsidP="008E42A1">
      <w:pPr>
        <w:spacing w:before="100" w:beforeAutospacing="1" w:after="100" w:afterAutospacing="1"/>
        <w:ind w:left="709" w:right="709"/>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w:t>
      </w:r>
      <w:r w:rsidR="008E42A1" w:rsidRPr="00BF3B15">
        <w:rPr>
          <w:rFonts w:ascii="Palatino Linotype" w:hAnsi="Palatino Linotype" w:cs="Arial"/>
          <w:i/>
          <w:sz w:val="22"/>
          <w:szCs w:val="22"/>
          <w:lang w:eastAsia="es-MX"/>
        </w:rPr>
        <w:t>SE ME INFORMA QUE NO SE OTORGA LA INFORMACIÓN SOLICITADA, SIN EMBARGO LA PRUEBA DE DAÑO ASÍ COMO LA PRUEBA DE INTERÉS PUBLICO CARECE DE FUNDAMENTO YA QUE EH RECIBIDO LA INFORMACIÓN SOLICITADA POR OTRAS DEPENDENCIAS POR LO QUE SOLICITO Y RATIFICO EN ESTE ACTO LA INTEGRACIÓN DE LA INFORMACIÓN</w:t>
      </w:r>
      <w:r w:rsidRPr="00BF3B15">
        <w:rPr>
          <w:rFonts w:ascii="Palatino Linotype" w:hAnsi="Palatino Linotype" w:cs="Arial"/>
          <w:i/>
          <w:sz w:val="22"/>
          <w:szCs w:val="22"/>
          <w:lang w:eastAsia="es-MX"/>
        </w:rPr>
        <w:t>.” (Sic)</w:t>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lang w:val="es-ES_tradnl"/>
        </w:rPr>
      </w:pPr>
      <w:r w:rsidRPr="00BF3B15">
        <w:rPr>
          <w:rFonts w:ascii="Palatino Linotype" w:hAnsi="Palatino Linotype" w:cs="Arial"/>
          <w:b/>
          <w:sz w:val="28"/>
          <w:szCs w:val="28"/>
        </w:rPr>
        <w:t>V</w:t>
      </w:r>
      <w:r w:rsidR="008E42A1" w:rsidRPr="00BF3B15">
        <w:rPr>
          <w:rFonts w:ascii="Palatino Linotype" w:hAnsi="Palatino Linotype" w:cs="Arial"/>
          <w:b/>
          <w:sz w:val="28"/>
          <w:szCs w:val="28"/>
        </w:rPr>
        <w:t>I</w:t>
      </w:r>
      <w:r w:rsidRPr="00BF3B15">
        <w:rPr>
          <w:rFonts w:ascii="Palatino Linotype" w:hAnsi="Palatino Linotype" w:cs="Arial"/>
          <w:b/>
          <w:sz w:val="28"/>
          <w:szCs w:val="28"/>
        </w:rPr>
        <w:t>.</w:t>
      </w:r>
      <w:r w:rsidRPr="00BF3B15">
        <w:rPr>
          <w:rFonts w:ascii="Palatino Linotype" w:hAnsi="Palatino Linotype" w:cs="Arial"/>
        </w:rPr>
        <w:t xml:space="preserve"> En fecha </w:t>
      </w:r>
      <w:r w:rsidR="000735C9" w:rsidRPr="00BF3B15">
        <w:rPr>
          <w:rFonts w:ascii="Palatino Linotype" w:hAnsi="Palatino Linotype" w:cs="Arial"/>
        </w:rPr>
        <w:t>treinta de enero de dos mil diecinueve</w:t>
      </w:r>
      <w:r w:rsidRPr="00BF3B15">
        <w:rPr>
          <w:rFonts w:ascii="Palatino Linotype" w:hAnsi="Palatino Linotype"/>
        </w:rPr>
        <w:t>, el</w:t>
      </w:r>
      <w:r w:rsidRPr="00BF3B15">
        <w:rPr>
          <w:rFonts w:ascii="Palatino Linotype" w:hAnsi="Palatino Linotype" w:cs="Arial"/>
        </w:rPr>
        <w:t xml:space="preserve"> </w:t>
      </w:r>
      <w:r w:rsidRPr="00BF3B15">
        <w:rPr>
          <w:rFonts w:ascii="Palatino Linotype" w:hAnsi="Palatino Linotype" w:cs="Arial"/>
          <w:lang w:val="es-ES_tradnl"/>
        </w:rPr>
        <w:t>recurso de que</w:t>
      </w:r>
      <w:r w:rsidRPr="00BF3B15">
        <w:rPr>
          <w:rFonts w:ascii="Palatino Linotype" w:hAnsi="Palatino Linotype" w:cs="Arial"/>
        </w:rPr>
        <w:t xml:space="preserve"> se trata</w:t>
      </w:r>
      <w:r w:rsidRPr="00BF3B15">
        <w:rPr>
          <w:rFonts w:ascii="Palatino Linotype" w:hAnsi="Palatino Linotype" w:cs="Arial"/>
          <w:lang w:val="es-ES_tradnl"/>
        </w:rPr>
        <w:t xml:space="preserve"> se envió </w:t>
      </w:r>
      <w:r w:rsidRPr="00BF3B15">
        <w:rPr>
          <w:rFonts w:ascii="Palatino Linotype" w:hAnsi="Palatino Linotype"/>
        </w:rPr>
        <w:t>electrónicamente</w:t>
      </w:r>
      <w:r w:rsidRPr="00BF3B15">
        <w:rPr>
          <w:rFonts w:ascii="Palatino Linotype" w:hAnsi="Palatino Linotype" w:cs="Arial"/>
          <w:lang w:val="es-ES_tradnl"/>
        </w:rPr>
        <w:t xml:space="preserve"> </w:t>
      </w:r>
      <w:r w:rsidRPr="00BF3B15">
        <w:rPr>
          <w:rFonts w:ascii="Palatino Linotype" w:hAnsi="Palatino Linotype" w:cs="Arial"/>
        </w:rPr>
        <w:t>al</w:t>
      </w:r>
      <w:r w:rsidRPr="00BF3B15">
        <w:rPr>
          <w:rFonts w:ascii="Palatino Linotype" w:hAnsi="Palatino Linotype" w:cs="Arial"/>
          <w:lang w:val="es-ES_tradnl"/>
        </w:rPr>
        <w:t xml:space="preserve"> </w:t>
      </w:r>
      <w:r w:rsidRPr="00BF3B15">
        <w:rPr>
          <w:rFonts w:ascii="Palatino Linotype" w:hAnsi="Palatino Linotype" w:cs="Arial"/>
        </w:rPr>
        <w:t>Instituto</w:t>
      </w:r>
      <w:r w:rsidRPr="00BF3B15">
        <w:rPr>
          <w:rFonts w:ascii="Palatino Linotype" w:hAnsi="Palatino Linotype" w:cs="Arial"/>
          <w:lang w:val="es-ES_tradnl"/>
        </w:rPr>
        <w:t xml:space="preserve"> de </w:t>
      </w:r>
      <w:r w:rsidRPr="00BF3B15">
        <w:rPr>
          <w:rFonts w:ascii="Palatino Linotype" w:eastAsia="Arial Unicode MS" w:hAnsi="Palatino Linotype" w:cs="Arial"/>
        </w:rPr>
        <w:t>Transparencia</w:t>
      </w:r>
      <w:r w:rsidRPr="00BF3B15">
        <w:rPr>
          <w:rFonts w:ascii="Palatino Linotype" w:hAnsi="Palatino Linotype" w:cs="Arial"/>
          <w:lang w:val="es-ES_tradnl"/>
        </w:rPr>
        <w:t xml:space="preserve">, Acceso a la Información Pública y </w:t>
      </w:r>
      <w:r w:rsidRPr="00BF3B15">
        <w:rPr>
          <w:rFonts w:ascii="Palatino Linotype" w:hAnsi="Palatino Linotype" w:cs="Arial"/>
          <w:lang w:val="es-ES_tradnl"/>
        </w:rPr>
        <w:lastRenderedPageBreak/>
        <w:t xml:space="preserve">Protección </w:t>
      </w:r>
      <w:r w:rsidRPr="00BF3B15">
        <w:rPr>
          <w:rFonts w:ascii="Palatino Linotype" w:hAnsi="Palatino Linotype" w:cs="Arial"/>
        </w:rPr>
        <w:t>de</w:t>
      </w:r>
      <w:r w:rsidRPr="00BF3B15">
        <w:rPr>
          <w:rFonts w:ascii="Palatino Linotype" w:hAnsi="Palatino Linotype" w:cs="Arial"/>
          <w:lang w:val="es-ES_tradnl"/>
        </w:rPr>
        <w:t xml:space="preserve"> </w:t>
      </w:r>
      <w:r w:rsidRPr="00BF3B15">
        <w:rPr>
          <w:rFonts w:ascii="Palatino Linotype" w:hAnsi="Palatino Linotype"/>
        </w:rPr>
        <w:t>Datos</w:t>
      </w:r>
      <w:r w:rsidRPr="00BF3B15">
        <w:rPr>
          <w:rFonts w:ascii="Palatino Linotype" w:hAnsi="Palatino Linotype" w:cs="Arial"/>
          <w:lang w:val="es-ES_tradnl"/>
        </w:rPr>
        <w:t xml:space="preserve"> </w:t>
      </w:r>
      <w:r w:rsidRPr="00BF3B15">
        <w:rPr>
          <w:rFonts w:ascii="Palatino Linotype" w:hAnsi="Palatino Linotype" w:cs="Arial"/>
        </w:rPr>
        <w:t>Personales</w:t>
      </w:r>
      <w:r w:rsidRPr="00BF3B15">
        <w:rPr>
          <w:rFonts w:ascii="Palatino Linotype" w:hAnsi="Palatino Linotype" w:cs="Arial"/>
          <w:lang w:val="es-ES_tradnl"/>
        </w:rPr>
        <w:t xml:space="preserve"> del Estado de México y Municipios y con fundamento en el </w:t>
      </w:r>
      <w:r w:rsidRPr="00BF3B15">
        <w:rPr>
          <w:rFonts w:ascii="Palatino Linotype" w:hAnsi="Palatino Linotype" w:cs="Arial"/>
        </w:rPr>
        <w:t>artículo</w:t>
      </w:r>
      <w:r w:rsidRPr="00BF3B15">
        <w:rPr>
          <w:rFonts w:ascii="Palatino Linotype" w:hAnsi="Palatino Linotype" w:cs="Arial"/>
          <w:lang w:val="es-ES_tradnl"/>
        </w:rPr>
        <w:t xml:space="preserve"> 185, </w:t>
      </w:r>
      <w:r w:rsidRPr="00BF3B15">
        <w:rPr>
          <w:rFonts w:ascii="Palatino Linotype" w:hAnsi="Palatino Linotype"/>
        </w:rPr>
        <w:t>fracción</w:t>
      </w:r>
      <w:r w:rsidRPr="00BF3B15">
        <w:rPr>
          <w:rFonts w:ascii="Palatino Linotype" w:hAnsi="Palatino Linotype" w:cs="Arial"/>
          <w:lang w:val="es-ES_tradnl"/>
        </w:rPr>
        <w:t xml:space="preserve"> I de la </w:t>
      </w:r>
      <w:r w:rsidRPr="00BF3B15">
        <w:rPr>
          <w:rFonts w:ascii="Palatino Linotype" w:hAnsi="Palatino Linotype"/>
        </w:rPr>
        <w:t>Ley de Transparencia y Acceso a la Información Pública del Estado de México y Municipios</w:t>
      </w:r>
      <w:r w:rsidRPr="00BF3B15">
        <w:rPr>
          <w:rFonts w:ascii="Palatino Linotype" w:hAnsi="Palatino Linotype" w:cs="Arial"/>
          <w:lang w:val="es-ES_tradnl"/>
        </w:rPr>
        <w:t>, se turnó, a través del</w:t>
      </w:r>
      <w:r w:rsidRPr="00BF3B15">
        <w:rPr>
          <w:rFonts w:ascii="Palatino Linotype" w:eastAsia="Arial Unicode MS" w:hAnsi="Palatino Linotype" w:cs="Arial"/>
          <w:lang w:val="es-ES_tradnl"/>
        </w:rPr>
        <w:t xml:space="preserve"> </w:t>
      </w:r>
      <w:r w:rsidRPr="00BF3B15">
        <w:rPr>
          <w:rFonts w:ascii="Palatino Linotype" w:eastAsia="Arial Unicode MS" w:hAnsi="Palatino Linotype" w:cs="Arial"/>
          <w:b/>
          <w:lang w:val="es-ES_tradnl"/>
        </w:rPr>
        <w:t>SAIMEX</w:t>
      </w:r>
      <w:r w:rsidRPr="00BF3B15">
        <w:rPr>
          <w:rFonts w:ascii="Palatino Linotype" w:hAnsi="Palatino Linotype"/>
        </w:rPr>
        <w:t xml:space="preserve">, a la </w:t>
      </w:r>
      <w:r w:rsidRPr="00BF3B15">
        <w:rPr>
          <w:rFonts w:ascii="Palatino Linotype" w:hAnsi="Palatino Linotype" w:cs="Arial"/>
          <w:lang w:val="es-ES_tradnl"/>
        </w:rPr>
        <w:t xml:space="preserve">Comisionada </w:t>
      </w:r>
      <w:r w:rsidRPr="00BF3B15">
        <w:rPr>
          <w:rFonts w:ascii="Palatino Linotype" w:hAnsi="Palatino Linotype" w:cs="Arial"/>
          <w:b/>
          <w:lang w:val="es-ES_tradnl"/>
        </w:rPr>
        <w:t>EVA ABAID YAPUR</w:t>
      </w:r>
      <w:r w:rsidRPr="00BF3B15">
        <w:rPr>
          <w:rFonts w:ascii="Palatino Linotype" w:hAnsi="Palatino Linotype" w:cs="Arial"/>
          <w:lang w:val="es-ES_tradnl"/>
        </w:rPr>
        <w:t xml:space="preserve">, a efecto de que decretara su admisión o </w:t>
      </w:r>
      <w:proofErr w:type="spellStart"/>
      <w:r w:rsidRPr="00BF3B15">
        <w:rPr>
          <w:rFonts w:ascii="Palatino Linotype" w:hAnsi="Palatino Linotype" w:cs="Arial"/>
          <w:lang w:val="es-ES_tradnl"/>
        </w:rPr>
        <w:t>desechamiento</w:t>
      </w:r>
      <w:proofErr w:type="spellEnd"/>
      <w:r w:rsidRPr="00BF3B15">
        <w:rPr>
          <w:rFonts w:ascii="Palatino Linotype" w:hAnsi="Palatino Linotype" w:cs="Arial"/>
          <w:lang w:val="es-ES_tradnl"/>
        </w:rPr>
        <w:t>.</w:t>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cs="Arial"/>
          <w:b/>
          <w:sz w:val="28"/>
          <w:szCs w:val="28"/>
        </w:rPr>
        <w:t>V</w:t>
      </w:r>
      <w:r w:rsidR="000735C9" w:rsidRPr="00BF3B15">
        <w:rPr>
          <w:rFonts w:ascii="Palatino Linotype" w:hAnsi="Palatino Linotype" w:cs="Arial"/>
          <w:b/>
          <w:sz w:val="28"/>
          <w:szCs w:val="28"/>
        </w:rPr>
        <w:t>I</w:t>
      </w:r>
      <w:r w:rsidRPr="00BF3B15">
        <w:rPr>
          <w:rFonts w:ascii="Palatino Linotype" w:hAnsi="Palatino Linotype" w:cs="Arial"/>
          <w:b/>
          <w:sz w:val="28"/>
          <w:szCs w:val="28"/>
        </w:rPr>
        <w:t>I.</w:t>
      </w:r>
      <w:r w:rsidRPr="00BF3B15">
        <w:rPr>
          <w:rFonts w:ascii="Palatino Linotype" w:hAnsi="Palatino Linotype" w:cs="Arial"/>
        </w:rPr>
        <w:t xml:space="preserve"> En fecha </w:t>
      </w:r>
      <w:r w:rsidR="000735C9" w:rsidRPr="00BF3B15">
        <w:rPr>
          <w:rFonts w:ascii="Palatino Linotype" w:hAnsi="Palatino Linotype" w:cs="Arial"/>
        </w:rPr>
        <w:t>seis de febrero de dos mil diecinueve</w:t>
      </w:r>
      <w:r w:rsidRPr="00BF3B15">
        <w:rPr>
          <w:rFonts w:ascii="Palatino Linotype" w:hAnsi="Palatino Linotype" w:cs="Arial"/>
        </w:rPr>
        <w:t xml:space="preserve">, atento a lo dispuesto en el artículo 185, fracciones I, II y IV de la </w:t>
      </w:r>
      <w:r w:rsidRPr="00BF3B15">
        <w:rPr>
          <w:rFonts w:ascii="Palatino Linotype" w:hAnsi="Palatino Linotype"/>
        </w:rPr>
        <w:t>Ley de Transparencia y Acceso a la Información Pública del Estado de México y Municipios, se a</w:t>
      </w:r>
      <w:r w:rsidRPr="00BF3B15">
        <w:rPr>
          <w:rFonts w:ascii="Palatino Linotype" w:hAnsi="Palatino Linotype" w:cs="Arial"/>
        </w:rPr>
        <w:t xml:space="preserve">cordó la admisión a trámite del referido recurso de </w:t>
      </w:r>
      <w:r w:rsidRPr="00BF3B15">
        <w:rPr>
          <w:rFonts w:ascii="Palatino Linotype" w:hAnsi="Palatino Linotype" w:cs="Arial"/>
          <w:lang w:val="es-ES_tradnl"/>
        </w:rPr>
        <w:t>revisión</w:t>
      </w:r>
      <w:r w:rsidRPr="00BF3B15">
        <w:rPr>
          <w:rFonts w:ascii="Palatino Linotype" w:hAnsi="Palatino Linotype" w:cs="Arial"/>
        </w:rPr>
        <w:t xml:space="preserve">, así como la integración del expediente respectivo, mismo que se puso a disposición de las partes, para que en el plazo máximo de siete días hábiles, </w:t>
      </w:r>
      <w:r w:rsidR="000735C9" w:rsidRPr="00BF3B15">
        <w:rPr>
          <w:rFonts w:ascii="Palatino Linotype" w:hAnsi="Palatino Linotype" w:cs="Arial"/>
          <w:b/>
        </w:rPr>
        <w:t>LA</w:t>
      </w:r>
      <w:r w:rsidRPr="00BF3B15">
        <w:rPr>
          <w:rFonts w:ascii="Palatino Linotype" w:hAnsi="Palatino Linotype" w:cs="Arial"/>
          <w:b/>
        </w:rPr>
        <w:t xml:space="preserve"> RECURRENTE</w:t>
      </w:r>
      <w:r w:rsidRPr="00BF3B15">
        <w:rPr>
          <w:rFonts w:ascii="Palatino Linotype" w:hAnsi="Palatino Linotype" w:cs="Arial"/>
        </w:rPr>
        <w:t xml:space="preserve"> realizara manifestaciones, alegatos y ofreciera las pruebas que a su derecho </w:t>
      </w:r>
      <w:r w:rsidRPr="00BF3B15">
        <w:rPr>
          <w:rFonts w:ascii="Palatino Linotype" w:hAnsi="Palatino Linotype" w:cs="Arial"/>
          <w:lang w:val="es-ES_tradnl"/>
        </w:rPr>
        <w:t>conviniera</w:t>
      </w:r>
      <w:r w:rsidRPr="00BF3B15">
        <w:rPr>
          <w:rFonts w:ascii="Palatino Linotype" w:hAnsi="Palatino Linotype" w:cs="Arial"/>
        </w:rPr>
        <w:t xml:space="preserve"> y, en el caso del</w:t>
      </w:r>
      <w:r w:rsidRPr="00BF3B15">
        <w:rPr>
          <w:rFonts w:ascii="Palatino Linotype" w:hAnsi="Palatino Linotype" w:cs="Arial"/>
          <w:b/>
        </w:rPr>
        <w:t xml:space="preserve"> SUJETO OBLIGADO</w:t>
      </w:r>
      <w:r w:rsidRPr="00BF3B15">
        <w:rPr>
          <w:rFonts w:ascii="Palatino Linotype" w:hAnsi="Palatino Linotype" w:cs="Arial"/>
        </w:rPr>
        <w:t>, para que exhibiera el Informe Justificado correspondiente.</w:t>
      </w:r>
    </w:p>
    <w:p w:rsidR="0053242C"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lang w:eastAsia="es-ES_tradnl"/>
        </w:rPr>
      </w:pPr>
      <w:r w:rsidRPr="00BF3B15">
        <w:rPr>
          <w:rFonts w:ascii="Palatino Linotype" w:hAnsi="Palatino Linotype" w:cs="Arial"/>
          <w:b/>
          <w:sz w:val="28"/>
          <w:szCs w:val="28"/>
        </w:rPr>
        <w:t>VI</w:t>
      </w:r>
      <w:r w:rsidR="000735C9" w:rsidRPr="00BF3B15">
        <w:rPr>
          <w:rFonts w:ascii="Palatino Linotype" w:hAnsi="Palatino Linotype" w:cs="Arial"/>
          <w:b/>
          <w:sz w:val="28"/>
          <w:szCs w:val="28"/>
        </w:rPr>
        <w:t>I</w:t>
      </w:r>
      <w:r w:rsidRPr="00BF3B15">
        <w:rPr>
          <w:rFonts w:ascii="Palatino Linotype" w:hAnsi="Palatino Linotype" w:cs="Arial"/>
          <w:b/>
          <w:sz w:val="28"/>
          <w:szCs w:val="28"/>
        </w:rPr>
        <w:t>I.</w:t>
      </w:r>
      <w:r w:rsidRPr="00BF3B15">
        <w:rPr>
          <w:rFonts w:ascii="Palatino Linotype" w:hAnsi="Palatino Linotype" w:cs="Arial"/>
        </w:rPr>
        <w:t xml:space="preserve"> De</w:t>
      </w:r>
      <w:r w:rsidRPr="00BF3B15">
        <w:rPr>
          <w:rFonts w:ascii="Palatino Linotype" w:hAnsi="Palatino Linotype" w:cs="Arial"/>
          <w:lang w:val="es-ES_tradnl"/>
        </w:rPr>
        <w:t xml:space="preserve"> las </w:t>
      </w:r>
      <w:r w:rsidRPr="00BF3B15">
        <w:rPr>
          <w:rFonts w:ascii="Palatino Linotype" w:hAnsi="Palatino Linotype"/>
        </w:rPr>
        <w:t>constancias</w:t>
      </w:r>
      <w:r w:rsidRPr="00BF3B15">
        <w:rPr>
          <w:rFonts w:ascii="Palatino Linotype" w:hAnsi="Palatino Linotype" w:cs="Arial"/>
          <w:lang w:val="es-ES_tradnl"/>
        </w:rPr>
        <w:t xml:space="preserve"> que obran en el </w:t>
      </w:r>
      <w:r w:rsidRPr="00BF3B15">
        <w:rPr>
          <w:rFonts w:ascii="Palatino Linotype" w:hAnsi="Palatino Linotype" w:cs="Arial"/>
          <w:b/>
          <w:lang w:val="es-ES_tradnl"/>
        </w:rPr>
        <w:t>SAIMEX</w:t>
      </w:r>
      <w:r w:rsidRPr="00BF3B15">
        <w:rPr>
          <w:rFonts w:ascii="Palatino Linotype" w:hAnsi="Palatino Linotype" w:cs="Arial"/>
          <w:lang w:val="es-ES_tradnl"/>
        </w:rPr>
        <w:t>, se advierte que</w:t>
      </w:r>
      <w:r w:rsidRPr="00BF3B15">
        <w:rPr>
          <w:rFonts w:ascii="Palatino Linotype" w:hAnsi="Palatino Linotype" w:cs="Arial"/>
          <w:b/>
          <w:lang w:val="es-ES_tradnl"/>
        </w:rPr>
        <w:t xml:space="preserve"> </w:t>
      </w:r>
      <w:r w:rsidRPr="00BF3B15">
        <w:rPr>
          <w:rFonts w:ascii="Palatino Linotype" w:hAnsi="Palatino Linotype" w:cs="Arial"/>
          <w:b/>
        </w:rPr>
        <w:t>L</w:t>
      </w:r>
      <w:r w:rsidR="000735C9" w:rsidRPr="00BF3B15">
        <w:rPr>
          <w:rFonts w:ascii="Palatino Linotype" w:hAnsi="Palatino Linotype" w:cs="Arial"/>
          <w:b/>
        </w:rPr>
        <w:t>A</w:t>
      </w:r>
      <w:r w:rsidRPr="00BF3B15">
        <w:rPr>
          <w:rFonts w:ascii="Palatino Linotype" w:hAnsi="Palatino Linotype" w:cs="Arial"/>
          <w:b/>
        </w:rPr>
        <w:t xml:space="preserve"> RECURRENTE</w:t>
      </w:r>
      <w:r w:rsidRPr="00BF3B15">
        <w:rPr>
          <w:rFonts w:ascii="Palatino Linotype" w:hAnsi="Palatino Linotype" w:cs="Arial"/>
        </w:rPr>
        <w:t xml:space="preserve"> </w:t>
      </w:r>
      <w:r w:rsidR="000735C9" w:rsidRPr="00BF3B15">
        <w:rPr>
          <w:rFonts w:ascii="Palatino Linotype" w:hAnsi="Palatino Linotype" w:cs="Arial"/>
        </w:rPr>
        <w:t xml:space="preserve">fue omisa en realizar manifestaciones, alegatos y ofrecer las pruebas que a su derecho </w:t>
      </w:r>
      <w:r w:rsidR="000735C9" w:rsidRPr="00BF3B15">
        <w:rPr>
          <w:rFonts w:ascii="Palatino Linotype" w:hAnsi="Palatino Linotype" w:cs="Arial"/>
          <w:lang w:val="es-ES_tradnl"/>
        </w:rPr>
        <w:t xml:space="preserve">convinieran; sin embargo, </w:t>
      </w:r>
      <w:r w:rsidR="000735C9" w:rsidRPr="00BF3B15">
        <w:rPr>
          <w:rFonts w:ascii="Palatino Linotype" w:hAnsi="Palatino Linotype" w:cs="Arial"/>
          <w:b/>
          <w:lang w:val="es-ES_tradnl"/>
        </w:rPr>
        <w:t>EL SUJETO OBLIGADO</w:t>
      </w:r>
      <w:r w:rsidR="003E3448" w:rsidRPr="00BF3B15">
        <w:rPr>
          <w:rFonts w:ascii="Palatino Linotype" w:hAnsi="Palatino Linotype" w:cs="Arial"/>
          <w:b/>
          <w:lang w:val="es-ES_tradnl"/>
        </w:rPr>
        <w:t>,</w:t>
      </w:r>
      <w:r w:rsidR="000735C9" w:rsidRPr="00BF3B15">
        <w:rPr>
          <w:rFonts w:ascii="Palatino Linotype" w:hAnsi="Palatino Linotype" w:cs="Arial"/>
        </w:rPr>
        <w:t xml:space="preserve"> </w:t>
      </w:r>
      <w:r w:rsidRPr="00BF3B15">
        <w:rPr>
          <w:rFonts w:ascii="Palatino Linotype" w:hAnsi="Palatino Linotype" w:cs="Arial"/>
          <w:lang w:val="es-ES_tradnl"/>
        </w:rPr>
        <w:t xml:space="preserve">en fecha </w:t>
      </w:r>
      <w:r w:rsidR="000735C9" w:rsidRPr="00BF3B15">
        <w:rPr>
          <w:rFonts w:ascii="Palatino Linotype" w:hAnsi="Palatino Linotype" w:cs="Arial"/>
          <w:lang w:val="es-ES_tradnl"/>
        </w:rPr>
        <w:t xml:space="preserve">quince de febrero de </w:t>
      </w:r>
      <w:r w:rsidRPr="00BF3B15">
        <w:rPr>
          <w:rFonts w:ascii="Palatino Linotype" w:hAnsi="Palatino Linotype" w:cs="Arial"/>
          <w:lang w:val="es-ES_tradnl"/>
        </w:rPr>
        <w:t>dos mil dieci</w:t>
      </w:r>
      <w:r w:rsidR="000735C9" w:rsidRPr="00BF3B15">
        <w:rPr>
          <w:rFonts w:ascii="Palatino Linotype" w:hAnsi="Palatino Linotype" w:cs="Arial"/>
          <w:lang w:val="es-ES_tradnl"/>
        </w:rPr>
        <w:t>nueve</w:t>
      </w:r>
      <w:r w:rsidRPr="00BF3B15">
        <w:rPr>
          <w:rFonts w:ascii="Palatino Linotype" w:hAnsi="Palatino Linotype" w:cs="Arial"/>
          <w:lang w:val="es-ES_tradnl"/>
        </w:rPr>
        <w:t xml:space="preserve">, exhibió el Informe Justificado, </w:t>
      </w:r>
      <w:r w:rsidR="0053242C" w:rsidRPr="00BF3B15">
        <w:rPr>
          <w:rFonts w:ascii="Palatino Linotype" w:hAnsi="Palatino Linotype" w:cs="Arial"/>
          <w:lang w:val="es-ES_tradnl"/>
        </w:rPr>
        <w:t xml:space="preserve">mismo </w:t>
      </w:r>
      <w:r w:rsidR="0053242C" w:rsidRPr="00BF3B15">
        <w:rPr>
          <w:rFonts w:ascii="Palatino Linotype" w:hAnsi="Palatino Linotype"/>
          <w:lang w:eastAsia="es-ES_tradnl"/>
        </w:rPr>
        <w:t xml:space="preserve">que no fue puesto a la vista de la particular, toda vez que </w:t>
      </w:r>
      <w:r w:rsidR="0053242C" w:rsidRPr="00BF3B15">
        <w:rPr>
          <w:rFonts w:ascii="Palatino Linotype" w:hAnsi="Palatino Linotype"/>
          <w:b/>
          <w:lang w:eastAsia="es-ES_tradnl"/>
        </w:rPr>
        <w:t xml:space="preserve">EL SUJETO OBLIGADO </w:t>
      </w:r>
      <w:r w:rsidR="0053242C" w:rsidRPr="00BF3B15">
        <w:rPr>
          <w:rFonts w:ascii="Palatino Linotype" w:hAnsi="Palatino Linotype"/>
          <w:lang w:eastAsia="es-ES_tradnl"/>
        </w:rPr>
        <w:t>ratificó su respuesta, lo que en consecuencia no actualiza el supuesto previsto en la fracción III del artículo 185 de la Ley de la materia.</w:t>
      </w:r>
    </w:p>
    <w:p w:rsidR="000664E8" w:rsidRPr="00BF3B15" w:rsidRDefault="0053242C" w:rsidP="003E5ABB">
      <w:pPr>
        <w:pStyle w:val="Prrafodelista"/>
        <w:tabs>
          <w:tab w:val="left" w:pos="567"/>
        </w:tabs>
        <w:spacing w:before="100" w:beforeAutospacing="1" w:after="100" w:afterAutospacing="1" w:line="360" w:lineRule="auto"/>
        <w:ind w:left="0"/>
        <w:jc w:val="both"/>
        <w:rPr>
          <w:rFonts w:ascii="Palatino Linotype" w:hAnsi="Palatino Linotype" w:cs="Arial"/>
          <w:lang w:val="es-ES_tradnl"/>
        </w:rPr>
      </w:pPr>
      <w:r w:rsidRPr="00BF3B15">
        <w:rPr>
          <w:rFonts w:ascii="Palatino Linotype" w:hAnsi="Palatino Linotype"/>
          <w:lang w:eastAsia="es-ES_tradnl"/>
        </w:rPr>
        <w:t xml:space="preserve">Informe </w:t>
      </w:r>
      <w:r w:rsidR="003E3448" w:rsidRPr="00BF3B15">
        <w:rPr>
          <w:rFonts w:ascii="Palatino Linotype" w:hAnsi="Palatino Linotype"/>
          <w:lang w:eastAsia="es-ES_tradnl"/>
        </w:rPr>
        <w:t xml:space="preserve">Justificado </w:t>
      </w:r>
      <w:r w:rsidRPr="00BF3B15">
        <w:rPr>
          <w:rFonts w:ascii="Palatino Linotype" w:hAnsi="Palatino Linotype"/>
          <w:lang w:eastAsia="es-ES_tradnl"/>
        </w:rPr>
        <w:t xml:space="preserve">al que </w:t>
      </w:r>
      <w:r w:rsidR="003E5ABB" w:rsidRPr="00BF3B15">
        <w:rPr>
          <w:rFonts w:ascii="Palatino Linotype" w:hAnsi="Palatino Linotype" w:cs="Arial"/>
          <w:lang w:val="es-ES_tradnl"/>
        </w:rPr>
        <w:t>adjunt</w:t>
      </w:r>
      <w:r w:rsidRPr="00BF3B15">
        <w:rPr>
          <w:rFonts w:ascii="Palatino Linotype" w:hAnsi="Palatino Linotype" w:cs="Arial"/>
          <w:lang w:val="es-ES_tradnl"/>
        </w:rPr>
        <w:t xml:space="preserve">ó </w:t>
      </w:r>
      <w:r w:rsidR="000735C9" w:rsidRPr="00BF3B15">
        <w:rPr>
          <w:rFonts w:ascii="Palatino Linotype" w:hAnsi="Palatino Linotype" w:cs="Arial"/>
          <w:lang w:val="es-ES_tradnl"/>
        </w:rPr>
        <w:t xml:space="preserve">dos archivos </w:t>
      </w:r>
      <w:r w:rsidR="000735C9" w:rsidRPr="00BF3B15">
        <w:rPr>
          <w:rFonts w:ascii="Palatino Linotype" w:hAnsi="Palatino Linotype"/>
          <w:lang w:val="es-ES_tradnl"/>
        </w:rPr>
        <w:t xml:space="preserve">electrónicos </w:t>
      </w:r>
      <w:r w:rsidR="003E5ABB" w:rsidRPr="00BF3B15">
        <w:rPr>
          <w:rFonts w:ascii="Palatino Linotype" w:hAnsi="Palatino Linotype"/>
          <w:lang w:val="es-ES_tradnl"/>
        </w:rPr>
        <w:t>denominado</w:t>
      </w:r>
      <w:r w:rsidR="00103E93" w:rsidRPr="00BF3B15">
        <w:rPr>
          <w:rFonts w:ascii="Palatino Linotype" w:hAnsi="Palatino Linotype"/>
          <w:lang w:val="es-ES_tradnl"/>
        </w:rPr>
        <w:t xml:space="preserve">s </w:t>
      </w:r>
      <w:hyperlink r:id="rId18" w:history="1">
        <w:r w:rsidR="00103E93" w:rsidRPr="00BF3B15">
          <w:rPr>
            <w:rFonts w:ascii="Palatino Linotype" w:hAnsi="Palatino Linotype"/>
            <w:b/>
            <w:lang w:val="es-ES_tradnl"/>
          </w:rPr>
          <w:t>Acta_CT_29.pdf</w:t>
        </w:r>
      </w:hyperlink>
      <w:r w:rsidR="00103E93" w:rsidRPr="00BF3B15">
        <w:rPr>
          <w:rFonts w:ascii="Palatino Linotype" w:hAnsi="Palatino Linotype"/>
          <w:b/>
          <w:lang w:val="es-ES_tradnl"/>
        </w:rPr>
        <w:t xml:space="preserve"> e </w:t>
      </w:r>
      <w:hyperlink r:id="rId19" w:history="1">
        <w:r w:rsidR="00103E93" w:rsidRPr="00BF3B15">
          <w:rPr>
            <w:rFonts w:ascii="Palatino Linotype" w:hAnsi="Palatino Linotype"/>
            <w:b/>
            <w:lang w:val="es-ES_tradnl"/>
          </w:rPr>
          <w:t>INFORME_RECURSO_332.PDF</w:t>
        </w:r>
      </w:hyperlink>
      <w:r w:rsidR="003E5ABB" w:rsidRPr="00BF3B15">
        <w:rPr>
          <w:rFonts w:ascii="Palatino Linotype" w:hAnsi="Palatino Linotype" w:cs="Arial"/>
          <w:b/>
          <w:lang w:val="es-ES_tradnl"/>
        </w:rPr>
        <w:t xml:space="preserve">, </w:t>
      </w:r>
      <w:r w:rsidR="00103E93" w:rsidRPr="00BF3B15">
        <w:rPr>
          <w:rFonts w:ascii="Palatino Linotype" w:hAnsi="Palatino Linotype" w:cs="Arial"/>
          <w:lang w:val="es-ES_tradnl"/>
        </w:rPr>
        <w:t>do</w:t>
      </w:r>
      <w:r w:rsidR="000664E8" w:rsidRPr="00BF3B15">
        <w:rPr>
          <w:rFonts w:ascii="Palatino Linotype" w:hAnsi="Palatino Linotype" w:cs="Arial"/>
          <w:lang w:val="es-ES_tradnl"/>
        </w:rPr>
        <w:t xml:space="preserve">nde el primero de los citados, contiene el Acta de la Vigésima Novena Sesión del Comité de Transparencia remitida </w:t>
      </w:r>
      <w:r w:rsidR="000664E8" w:rsidRPr="00BF3B15">
        <w:rPr>
          <w:rFonts w:ascii="Palatino Linotype" w:hAnsi="Palatino Linotype" w:cs="Arial"/>
          <w:lang w:val="es-ES_tradnl"/>
        </w:rPr>
        <w:lastRenderedPageBreak/>
        <w:t>en respuesta.</w:t>
      </w:r>
      <w:r w:rsidRPr="00BF3B15">
        <w:rPr>
          <w:rFonts w:ascii="Palatino Linotype" w:hAnsi="Palatino Linotype" w:cs="Arial"/>
          <w:lang w:val="es-ES_tradnl"/>
        </w:rPr>
        <w:t xml:space="preserve"> </w:t>
      </w:r>
      <w:r w:rsidR="000664E8" w:rsidRPr="00BF3B15">
        <w:rPr>
          <w:rFonts w:ascii="Palatino Linotype" w:hAnsi="Palatino Linotype" w:cs="Arial"/>
          <w:lang w:val="es-ES_tradnl"/>
        </w:rPr>
        <w:t xml:space="preserve">Mientras que el archivo electrónico denominado </w:t>
      </w:r>
      <w:hyperlink r:id="rId20" w:history="1">
        <w:r w:rsidR="000664E8" w:rsidRPr="00BF3B15">
          <w:rPr>
            <w:rFonts w:ascii="Palatino Linotype" w:hAnsi="Palatino Linotype"/>
            <w:b/>
            <w:lang w:val="es-ES_tradnl"/>
          </w:rPr>
          <w:t>INFORME_RECURSO_332.PDF</w:t>
        </w:r>
      </w:hyperlink>
      <w:r w:rsidR="000664E8" w:rsidRPr="00BF3B15">
        <w:rPr>
          <w:rFonts w:ascii="Palatino Linotype" w:hAnsi="Palatino Linotype"/>
          <w:lang w:val="es-ES_tradnl"/>
        </w:rPr>
        <w:t>, se inserta a continuación:</w:t>
      </w:r>
    </w:p>
    <w:p w:rsidR="000664E8" w:rsidRPr="00BF3B15" w:rsidRDefault="006F4329" w:rsidP="000664E8">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Pr>
          <w:noProof/>
          <w:lang w:eastAsia="es-MX"/>
        </w:rPr>
        <w:drawing>
          <wp:inline distT="0" distB="0" distL="0" distR="0" wp14:anchorId="288B1AD7" wp14:editId="30A8ED1E">
            <wp:extent cx="4946277" cy="6039293"/>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618" t="21540" r="34462" b="13522"/>
                    <a:stretch/>
                  </pic:blipFill>
                  <pic:spPr bwMode="auto">
                    <a:xfrm>
                      <a:off x="0" y="0"/>
                      <a:ext cx="4961989" cy="6058477"/>
                    </a:xfrm>
                    <a:prstGeom prst="rect">
                      <a:avLst/>
                    </a:prstGeom>
                    <a:ln>
                      <a:noFill/>
                    </a:ln>
                    <a:extLst>
                      <a:ext uri="{53640926-AAD7-44D8-BBD7-CCE9431645EC}">
                        <a14:shadowObscured xmlns:a14="http://schemas.microsoft.com/office/drawing/2010/main"/>
                      </a:ext>
                    </a:extLst>
                  </pic:spPr>
                </pic:pic>
              </a:graphicData>
            </a:graphic>
          </wp:inline>
        </w:drawing>
      </w:r>
    </w:p>
    <w:p w:rsidR="000664E8" w:rsidRPr="00BF3B15" w:rsidRDefault="006F4329" w:rsidP="000664E8">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Pr>
          <w:noProof/>
          <w:lang w:eastAsia="es-MX"/>
        </w:rPr>
        <w:lastRenderedPageBreak/>
        <w:drawing>
          <wp:inline distT="0" distB="0" distL="0" distR="0" wp14:anchorId="5D7E763A" wp14:editId="4CC67B45">
            <wp:extent cx="5416944" cy="7600208"/>
            <wp:effectExtent l="0" t="0" r="0" b="127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116" t="18591" r="34388" b="10338"/>
                    <a:stretch/>
                  </pic:blipFill>
                  <pic:spPr bwMode="auto">
                    <a:xfrm>
                      <a:off x="0" y="0"/>
                      <a:ext cx="5455541" cy="7654361"/>
                    </a:xfrm>
                    <a:prstGeom prst="rect">
                      <a:avLst/>
                    </a:prstGeom>
                    <a:ln>
                      <a:noFill/>
                    </a:ln>
                    <a:extLst>
                      <a:ext uri="{53640926-AAD7-44D8-BBD7-CCE9431645EC}">
                        <a14:shadowObscured xmlns:a14="http://schemas.microsoft.com/office/drawing/2010/main"/>
                      </a:ext>
                    </a:extLst>
                  </pic:spPr>
                </pic:pic>
              </a:graphicData>
            </a:graphic>
          </wp:inline>
        </w:drawing>
      </w:r>
    </w:p>
    <w:p w:rsidR="000664E8" w:rsidRPr="00BF3B15" w:rsidRDefault="006F4329" w:rsidP="000664E8">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6F4329">
        <w:rPr>
          <w:noProof/>
          <w:lang w:eastAsia="es-MX"/>
        </w:rPr>
        <w:lastRenderedPageBreak/>
        <w:t xml:space="preserve"> </w:t>
      </w:r>
      <w:r>
        <w:rPr>
          <w:noProof/>
          <w:lang w:eastAsia="es-MX"/>
        </w:rPr>
        <w:drawing>
          <wp:inline distT="0" distB="0" distL="0" distR="0" wp14:anchorId="0DD7C1E2" wp14:editId="5DB6827F">
            <wp:extent cx="5348395" cy="7766462"/>
            <wp:effectExtent l="0" t="0" r="508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503" t="21508" r="35824" b="7058"/>
                    <a:stretch/>
                  </pic:blipFill>
                  <pic:spPr bwMode="auto">
                    <a:xfrm>
                      <a:off x="0" y="0"/>
                      <a:ext cx="5370620" cy="7798735"/>
                    </a:xfrm>
                    <a:prstGeom prst="rect">
                      <a:avLst/>
                    </a:prstGeom>
                    <a:ln>
                      <a:noFill/>
                    </a:ln>
                    <a:extLst>
                      <a:ext uri="{53640926-AAD7-44D8-BBD7-CCE9431645EC}">
                        <a14:shadowObscured xmlns:a14="http://schemas.microsoft.com/office/drawing/2010/main"/>
                      </a:ext>
                    </a:extLst>
                  </pic:spPr>
                </pic:pic>
              </a:graphicData>
            </a:graphic>
          </wp:inline>
        </w:drawing>
      </w:r>
    </w:p>
    <w:p w:rsidR="000664E8" w:rsidRPr="00BF3B15" w:rsidRDefault="006F4329" w:rsidP="000664E8">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Pr>
          <w:noProof/>
          <w:lang w:eastAsia="es-MX"/>
        </w:rPr>
        <w:lastRenderedPageBreak/>
        <w:drawing>
          <wp:inline distT="0" distB="0" distL="0" distR="0" wp14:anchorId="32BF92B1" wp14:editId="3E2F10E9">
            <wp:extent cx="4451376" cy="5448300"/>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865" t="18125" r="33560" b="13175"/>
                    <a:stretch/>
                  </pic:blipFill>
                  <pic:spPr bwMode="auto">
                    <a:xfrm>
                      <a:off x="0" y="0"/>
                      <a:ext cx="4463671" cy="5463349"/>
                    </a:xfrm>
                    <a:prstGeom prst="rect">
                      <a:avLst/>
                    </a:prstGeom>
                    <a:ln>
                      <a:noFill/>
                    </a:ln>
                    <a:extLst>
                      <a:ext uri="{53640926-AAD7-44D8-BBD7-CCE9431645EC}">
                        <a14:shadowObscured xmlns:a14="http://schemas.microsoft.com/office/drawing/2010/main"/>
                      </a:ext>
                    </a:extLst>
                  </pic:spPr>
                </pic:pic>
              </a:graphicData>
            </a:graphic>
          </wp:inline>
        </w:drawing>
      </w:r>
      <w:r>
        <w:rPr>
          <w:rFonts w:ascii="Palatino Linotype" w:hAnsi="Palatino Linotype" w:cs="Arial"/>
          <w:lang w:val="es-ES_tradnl"/>
        </w:rPr>
        <w:tab/>
      </w:r>
    </w:p>
    <w:p w:rsidR="000664E8" w:rsidRPr="00BF3B15" w:rsidRDefault="000664E8" w:rsidP="000664E8">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BF3B15">
        <w:rPr>
          <w:noProof/>
          <w:lang w:eastAsia="es-MX"/>
        </w:rPr>
        <w:drawing>
          <wp:inline distT="0" distB="0" distL="0" distR="0" wp14:anchorId="5764CAB5" wp14:editId="5E280B1D">
            <wp:extent cx="3937635" cy="1823190"/>
            <wp:effectExtent l="0" t="0" r="5715"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702" t="30069" r="34594" b="43714"/>
                    <a:stretch/>
                  </pic:blipFill>
                  <pic:spPr bwMode="auto">
                    <a:xfrm>
                      <a:off x="0" y="0"/>
                      <a:ext cx="4005554" cy="1854638"/>
                    </a:xfrm>
                    <a:prstGeom prst="rect">
                      <a:avLst/>
                    </a:prstGeom>
                    <a:ln>
                      <a:noFill/>
                    </a:ln>
                    <a:extLst>
                      <a:ext uri="{53640926-AAD7-44D8-BBD7-CCE9431645EC}">
                        <a14:shadowObscured xmlns:a14="http://schemas.microsoft.com/office/drawing/2010/main"/>
                      </a:ext>
                    </a:extLst>
                  </pic:spPr>
                </pic:pic>
              </a:graphicData>
            </a:graphic>
          </wp:inline>
        </w:drawing>
      </w:r>
    </w:p>
    <w:p w:rsidR="003E5ABB" w:rsidRPr="00BF3B15" w:rsidRDefault="003E5ABB" w:rsidP="003E5ABB">
      <w:pPr>
        <w:pStyle w:val="Prrafodelista"/>
        <w:tabs>
          <w:tab w:val="left" w:pos="567"/>
        </w:tabs>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cs="Arial"/>
          <w:b/>
          <w:sz w:val="28"/>
          <w:szCs w:val="28"/>
        </w:rPr>
        <w:lastRenderedPageBreak/>
        <w:t>I</w:t>
      </w:r>
      <w:r w:rsidR="0053242C" w:rsidRPr="00BF3B15">
        <w:rPr>
          <w:rFonts w:ascii="Palatino Linotype" w:hAnsi="Palatino Linotype" w:cs="Arial"/>
          <w:b/>
          <w:sz w:val="28"/>
          <w:szCs w:val="28"/>
        </w:rPr>
        <w:t>X</w:t>
      </w:r>
      <w:r w:rsidRPr="00BF3B15">
        <w:rPr>
          <w:rFonts w:ascii="Palatino Linotype" w:hAnsi="Palatino Linotype" w:cs="Arial"/>
          <w:b/>
          <w:sz w:val="28"/>
          <w:szCs w:val="28"/>
        </w:rPr>
        <w:t>.</w:t>
      </w:r>
      <w:r w:rsidRPr="00BF3B15">
        <w:rPr>
          <w:rFonts w:ascii="Palatino Linotype" w:hAnsi="Palatino Linotype" w:cs="Arial"/>
        </w:rPr>
        <w:t xml:space="preserve"> Una vez analizado el estado procesal que guarda</w:t>
      </w:r>
      <w:r w:rsidR="003E3448" w:rsidRPr="00BF3B15">
        <w:rPr>
          <w:rFonts w:ascii="Palatino Linotype" w:hAnsi="Palatino Linotype" w:cs="Arial"/>
        </w:rPr>
        <w:t>ba</w:t>
      </w:r>
      <w:r w:rsidRPr="00BF3B15">
        <w:rPr>
          <w:rFonts w:ascii="Palatino Linotype" w:hAnsi="Palatino Linotype" w:cs="Arial"/>
        </w:rPr>
        <w:t xml:space="preserve"> el expediente, en fecha dieciocho de </w:t>
      </w:r>
      <w:r w:rsidR="0053242C" w:rsidRPr="00BF3B15">
        <w:rPr>
          <w:rFonts w:ascii="Palatino Linotype" w:hAnsi="Palatino Linotype" w:cs="Arial"/>
        </w:rPr>
        <w:t>febrero de dos mil diecinueve</w:t>
      </w:r>
      <w:r w:rsidRPr="00BF3B15">
        <w:rPr>
          <w:rFonts w:ascii="Palatino Linotype" w:hAnsi="Palatino Linotype" w:cs="Arial"/>
        </w:rPr>
        <w:t xml:space="preserve">, la Comisionada Ponente acordó el cierre de instrucción, así </w:t>
      </w:r>
      <w:r w:rsidRPr="00BF3B15">
        <w:rPr>
          <w:rFonts w:ascii="Palatino Linotype" w:hAnsi="Palatino Linotype" w:cs="Arial"/>
          <w:lang w:val="es-ES_tradnl"/>
        </w:rPr>
        <w:t>como</w:t>
      </w:r>
      <w:r w:rsidRPr="00BF3B15">
        <w:rPr>
          <w:rFonts w:ascii="Palatino Linotype" w:hAnsi="Palatino Linotype" w:cs="Arial"/>
        </w:rPr>
        <w:t xml:space="preserve"> la remisión del mismo a efecto </w:t>
      </w:r>
      <w:r w:rsidRPr="00BF3B15">
        <w:rPr>
          <w:rFonts w:ascii="Palatino Linotype" w:hAnsi="Palatino Linotype" w:cs="Arial"/>
          <w:lang w:val="es-ES_tradnl"/>
        </w:rPr>
        <w:t>de</w:t>
      </w:r>
      <w:r w:rsidRPr="00BF3B15">
        <w:rPr>
          <w:rFonts w:ascii="Palatino Linotype" w:hAnsi="Palatino Linotype" w:cs="Arial"/>
        </w:rPr>
        <w:t xml:space="preserve"> ser resuelto, de conformidad con lo establecido en el artículo 185, fracciones VI y VIII de la Ley de Transparencia y Acceso a la Información Pública del </w:t>
      </w:r>
      <w:r w:rsidR="00E82A98" w:rsidRPr="00BF3B15">
        <w:rPr>
          <w:rFonts w:ascii="Palatino Linotype" w:hAnsi="Palatino Linotype" w:cs="Arial"/>
        </w:rPr>
        <w:t>Estado de México y Municipios.</w:t>
      </w:r>
    </w:p>
    <w:p w:rsidR="00E82A98" w:rsidRPr="00BF3B15" w:rsidRDefault="00E82A98" w:rsidP="00E82A98">
      <w:pPr>
        <w:pStyle w:val="Prrafodelista"/>
        <w:tabs>
          <w:tab w:val="left" w:pos="567"/>
        </w:tabs>
        <w:spacing w:before="100" w:beforeAutospacing="1" w:after="100" w:afterAutospacing="1" w:line="360" w:lineRule="auto"/>
        <w:ind w:left="0"/>
        <w:jc w:val="both"/>
        <w:rPr>
          <w:rFonts w:ascii="Palatino Linotype" w:hAnsi="Palatino Linotype"/>
          <w:b/>
          <w:sz w:val="28"/>
          <w:szCs w:val="28"/>
        </w:rPr>
      </w:pPr>
      <w:r w:rsidRPr="00BF3B15">
        <w:rPr>
          <w:rFonts w:ascii="Palatino Linotype" w:hAnsi="Palatino Linotype" w:cs="Arial"/>
          <w:b/>
          <w:sz w:val="28"/>
          <w:szCs w:val="28"/>
        </w:rPr>
        <w:t>X.</w:t>
      </w:r>
      <w:r w:rsidRPr="00BF3B15">
        <w:rPr>
          <w:rFonts w:ascii="Palatino Linotype" w:hAnsi="Palatino Linotype" w:cs="Arial"/>
        </w:rPr>
        <w:t xml:space="preserve"> En fecha </w:t>
      </w:r>
      <w:r w:rsidR="001B3AB2" w:rsidRPr="00BF3B15">
        <w:rPr>
          <w:rFonts w:ascii="Palatino Linotype" w:hAnsi="Palatino Linotype" w:cs="Arial"/>
        </w:rPr>
        <w:t>veintidós de marzo</w:t>
      </w:r>
      <w:r w:rsidRPr="00BF3B15">
        <w:rPr>
          <w:rFonts w:ascii="Palatino Linotype" w:hAnsi="Palatino Linotype" w:cs="Arial"/>
        </w:rPr>
        <w:t xml:space="preserve">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 </w:t>
      </w:r>
    </w:p>
    <w:p w:rsidR="003E5ABB" w:rsidRPr="00BF3B15" w:rsidRDefault="003E5ABB" w:rsidP="003E5ABB">
      <w:pPr>
        <w:spacing w:before="100" w:beforeAutospacing="1" w:after="100" w:afterAutospacing="1" w:line="360" w:lineRule="auto"/>
        <w:jc w:val="center"/>
        <w:rPr>
          <w:rFonts w:ascii="Palatino Linotype" w:hAnsi="Palatino Linotype"/>
          <w:b/>
          <w:bCs/>
          <w:spacing w:val="40"/>
          <w:sz w:val="28"/>
        </w:rPr>
      </w:pPr>
      <w:r w:rsidRPr="00BF3B15">
        <w:rPr>
          <w:rFonts w:ascii="Palatino Linotype" w:hAnsi="Palatino Linotype"/>
          <w:b/>
          <w:bCs/>
          <w:spacing w:val="40"/>
          <w:sz w:val="28"/>
        </w:rPr>
        <w:t>CONSIDERANDO</w:t>
      </w:r>
    </w:p>
    <w:p w:rsidR="003E5ABB" w:rsidRPr="00BF3B15" w:rsidRDefault="003E5ABB" w:rsidP="003E5ABB">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rPr>
      </w:pPr>
      <w:r w:rsidRPr="00BF3B15">
        <w:rPr>
          <w:rFonts w:ascii="Palatino Linotype" w:hAnsi="Palatino Linotype"/>
          <w:b/>
          <w:sz w:val="28"/>
          <w:szCs w:val="28"/>
        </w:rPr>
        <w:t>PRIMERO.</w:t>
      </w:r>
      <w:r w:rsidRPr="00BF3B15">
        <w:rPr>
          <w:rFonts w:ascii="Palatino Linotype" w:hAnsi="Palatino Linotype"/>
          <w:b/>
        </w:rPr>
        <w:t xml:space="preserve"> Competencia</w:t>
      </w:r>
      <w:r w:rsidRPr="00BF3B15">
        <w:rPr>
          <w:rFonts w:ascii="Palatino Linotype" w:hAnsi="Palatino Linotype"/>
        </w:rPr>
        <w:t>.</w:t>
      </w:r>
      <w:r w:rsidRPr="00BF3B15">
        <w:rPr>
          <w:rFonts w:ascii="Palatino Linotype" w:hAnsi="Palatino Linotype"/>
          <w:b/>
        </w:rPr>
        <w:t xml:space="preserve"> </w:t>
      </w:r>
      <w:r w:rsidRPr="00BF3B15">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vigésimo, vigésimo primero y vigésimo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r w:rsidRPr="00BF3B15">
        <w:rPr>
          <w:rFonts w:ascii="Palatino Linotype" w:hAnsi="Palatino Linotype" w:cs="Arial"/>
        </w:rPr>
        <w:t>.</w:t>
      </w:r>
    </w:p>
    <w:p w:rsidR="003E5ABB" w:rsidRPr="00BF3B15" w:rsidRDefault="003E5ABB" w:rsidP="003E5ABB">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lang w:val="es-ES_tradnl"/>
        </w:rPr>
      </w:pPr>
      <w:r w:rsidRPr="00BF3B15">
        <w:rPr>
          <w:rFonts w:ascii="Palatino Linotype" w:hAnsi="Palatino Linotype" w:cs="Arial"/>
          <w:b/>
          <w:sz w:val="28"/>
          <w:szCs w:val="28"/>
        </w:rPr>
        <w:lastRenderedPageBreak/>
        <w:t>SEGUNDO.</w:t>
      </w:r>
      <w:r w:rsidRPr="00BF3B15">
        <w:rPr>
          <w:rFonts w:ascii="Palatino Linotype" w:hAnsi="Palatino Linotype" w:cs="Arial"/>
          <w:b/>
        </w:rPr>
        <w:t xml:space="preserve"> Interés.</w:t>
      </w:r>
      <w:r w:rsidRPr="00BF3B15">
        <w:rPr>
          <w:rFonts w:ascii="Palatino Linotype" w:hAnsi="Palatino Linotype" w:cs="Arial"/>
        </w:rPr>
        <w:t xml:space="preserve"> El recurso de revisión fue </w:t>
      </w:r>
      <w:r w:rsidRPr="00BF3B15">
        <w:rPr>
          <w:rFonts w:ascii="Palatino Linotype" w:hAnsi="Palatino Linotype"/>
        </w:rPr>
        <w:t>interpuesto</w:t>
      </w:r>
      <w:r w:rsidRPr="00BF3B15">
        <w:rPr>
          <w:rFonts w:ascii="Palatino Linotype" w:hAnsi="Palatino Linotype" w:cs="Arial"/>
        </w:rPr>
        <w:t xml:space="preserve"> por parte legítima</w:t>
      </w:r>
      <w:r w:rsidR="003E3448" w:rsidRPr="00BF3B15">
        <w:rPr>
          <w:rFonts w:ascii="Palatino Linotype" w:hAnsi="Palatino Linotype" w:cs="Arial"/>
        </w:rPr>
        <w:t>,</w:t>
      </w:r>
      <w:r w:rsidRPr="00BF3B15">
        <w:rPr>
          <w:rFonts w:ascii="Palatino Linotype" w:hAnsi="Palatino Linotype" w:cs="Arial"/>
        </w:rPr>
        <w:t xml:space="preserve"> en atención a que fue </w:t>
      </w:r>
      <w:r w:rsidRPr="00BF3B15">
        <w:rPr>
          <w:rFonts w:ascii="Palatino Linotype" w:hAnsi="Palatino Linotype"/>
        </w:rPr>
        <w:t>presentado</w:t>
      </w:r>
      <w:r w:rsidRPr="00BF3B15">
        <w:rPr>
          <w:rFonts w:ascii="Palatino Linotype" w:hAnsi="Palatino Linotype" w:cs="Arial"/>
        </w:rPr>
        <w:t xml:space="preserve"> por </w:t>
      </w:r>
      <w:r w:rsidR="0053242C" w:rsidRPr="00BF3B15">
        <w:rPr>
          <w:rFonts w:ascii="Palatino Linotype" w:hAnsi="Palatino Linotype" w:cs="Arial"/>
          <w:b/>
        </w:rPr>
        <w:t>LA</w:t>
      </w:r>
      <w:r w:rsidRPr="00BF3B15">
        <w:rPr>
          <w:rFonts w:ascii="Palatino Linotype" w:hAnsi="Palatino Linotype" w:cs="Arial"/>
          <w:b/>
        </w:rPr>
        <w:t xml:space="preserve"> RECURRENTE</w:t>
      </w:r>
      <w:r w:rsidRPr="00BF3B15">
        <w:rPr>
          <w:rFonts w:ascii="Palatino Linotype" w:hAnsi="Palatino Linotype" w:cs="Arial"/>
          <w:snapToGrid w:val="0"/>
        </w:rPr>
        <w:t xml:space="preserve">, quien </w:t>
      </w:r>
      <w:r w:rsidRPr="00BF3B15">
        <w:rPr>
          <w:rFonts w:ascii="Palatino Linotype" w:hAnsi="Palatino Linotype"/>
        </w:rPr>
        <w:t>formuló</w:t>
      </w:r>
      <w:r w:rsidRPr="00BF3B15">
        <w:rPr>
          <w:rFonts w:ascii="Palatino Linotype" w:hAnsi="Palatino Linotype" w:cs="Arial"/>
          <w:snapToGrid w:val="0"/>
        </w:rPr>
        <w:t xml:space="preserve"> la </w:t>
      </w:r>
      <w:r w:rsidRPr="00BF3B15">
        <w:rPr>
          <w:rFonts w:ascii="Palatino Linotype" w:hAnsi="Palatino Linotype" w:cs="Arial"/>
        </w:rPr>
        <w:t>solicitud</w:t>
      </w:r>
      <w:r w:rsidRPr="00BF3B15">
        <w:rPr>
          <w:rFonts w:ascii="Palatino Linotype" w:hAnsi="Palatino Linotype" w:cs="Arial"/>
          <w:snapToGrid w:val="0"/>
        </w:rPr>
        <w:t xml:space="preserve"> de información pública </w:t>
      </w:r>
      <w:r w:rsidRPr="00BF3B15">
        <w:rPr>
          <w:rFonts w:ascii="Palatino Linotype" w:hAnsi="Palatino Linotype"/>
        </w:rPr>
        <w:t>número</w:t>
      </w:r>
      <w:r w:rsidRPr="00BF3B15">
        <w:rPr>
          <w:rFonts w:ascii="Palatino Linotype" w:hAnsi="Palatino Linotype" w:cs="Arial"/>
          <w:snapToGrid w:val="0"/>
        </w:rPr>
        <w:t xml:space="preserve"> </w:t>
      </w:r>
      <w:r w:rsidR="0053242C" w:rsidRPr="00BF3B15">
        <w:rPr>
          <w:rFonts w:ascii="Palatino Linotype" w:hAnsi="Palatino Linotype"/>
          <w:b/>
          <w:bCs/>
        </w:rPr>
        <w:t>00253/METEPEC/</w:t>
      </w:r>
      <w:r w:rsidRPr="00BF3B15">
        <w:rPr>
          <w:rFonts w:ascii="Palatino Linotype" w:hAnsi="Palatino Linotype"/>
          <w:b/>
          <w:bCs/>
        </w:rPr>
        <w:t>IP/2018</w:t>
      </w:r>
      <w:r w:rsidRPr="00BF3B15">
        <w:rPr>
          <w:rFonts w:ascii="Palatino Linotype" w:hAnsi="Palatino Linotype" w:cs="Arial"/>
          <w:lang w:val="es-ES_tradnl"/>
        </w:rPr>
        <w:t>.</w:t>
      </w:r>
    </w:p>
    <w:p w:rsidR="003E5ABB" w:rsidRPr="00BF3B15" w:rsidRDefault="003E5ABB" w:rsidP="003E5ABB">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lang w:val="es-ES_tradnl"/>
        </w:rPr>
      </w:pPr>
      <w:r w:rsidRPr="00BF3B15">
        <w:rPr>
          <w:rFonts w:ascii="Palatino Linotype" w:hAnsi="Palatino Linotype" w:cs="Arial"/>
          <w:b/>
          <w:sz w:val="28"/>
          <w:szCs w:val="28"/>
        </w:rPr>
        <w:t>TERCERO.</w:t>
      </w:r>
      <w:r w:rsidRPr="00BF3B15">
        <w:rPr>
          <w:rFonts w:ascii="Palatino Linotype" w:hAnsi="Palatino Linotype" w:cs="Arial"/>
          <w:b/>
        </w:rPr>
        <w:t xml:space="preserve"> Oportunidad. </w:t>
      </w:r>
      <w:r w:rsidRPr="00BF3B15">
        <w:rPr>
          <w:rFonts w:ascii="Palatino Linotype" w:hAnsi="Palatino Linotype" w:cs="Arial"/>
        </w:rPr>
        <w:t>El recurso de revisión fue interpuesto dentro del plazo de quince días hábiles</w:t>
      </w:r>
      <w:r w:rsidR="003E3448" w:rsidRPr="00BF3B15">
        <w:rPr>
          <w:rFonts w:ascii="Palatino Linotype" w:hAnsi="Palatino Linotype" w:cs="Arial"/>
        </w:rPr>
        <w:t>,</w:t>
      </w:r>
      <w:r w:rsidRPr="00BF3B15">
        <w:rPr>
          <w:rFonts w:ascii="Palatino Linotype" w:hAnsi="Palatino Linotype" w:cs="Arial"/>
        </w:rPr>
        <w:t xml:space="preserve"> </w:t>
      </w:r>
      <w:r w:rsidRPr="00BF3B15">
        <w:rPr>
          <w:rFonts w:ascii="Palatino Linotype" w:hAnsi="Palatino Linotype"/>
        </w:rPr>
        <w:t>contados</w:t>
      </w:r>
      <w:r w:rsidRPr="00BF3B15">
        <w:rPr>
          <w:rFonts w:ascii="Palatino Linotype" w:hAnsi="Palatino Linotype" w:cs="Arial"/>
        </w:rPr>
        <w:t xml:space="preserve"> a </w:t>
      </w:r>
      <w:r w:rsidRPr="00BF3B15">
        <w:rPr>
          <w:rFonts w:ascii="Palatino Linotype" w:hAnsi="Palatino Linotype"/>
        </w:rPr>
        <w:t>partir</w:t>
      </w:r>
      <w:r w:rsidRPr="00BF3B15">
        <w:rPr>
          <w:rFonts w:ascii="Palatino Linotype" w:hAnsi="Palatino Linotype" w:cs="Arial"/>
        </w:rPr>
        <w:t xml:space="preserve"> del día siguiente al que </w:t>
      </w:r>
      <w:r w:rsidR="0053242C" w:rsidRPr="00BF3B15">
        <w:rPr>
          <w:rFonts w:ascii="Palatino Linotype" w:hAnsi="Palatino Linotype" w:cs="Arial"/>
          <w:b/>
          <w:bCs/>
        </w:rPr>
        <w:t>LA</w:t>
      </w:r>
      <w:r w:rsidRPr="00BF3B15">
        <w:rPr>
          <w:rFonts w:ascii="Palatino Linotype" w:hAnsi="Palatino Linotype" w:cs="Arial"/>
          <w:b/>
          <w:bCs/>
        </w:rPr>
        <w:t xml:space="preserve"> RECURRENTE </w:t>
      </w:r>
      <w:r w:rsidRPr="00BF3B15">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3E5ABB" w:rsidRPr="00BF3B15" w:rsidRDefault="003E5ABB" w:rsidP="003E5ABB">
      <w:pPr>
        <w:ind w:left="851" w:right="902"/>
        <w:jc w:val="both"/>
        <w:rPr>
          <w:rFonts w:ascii="Palatino Linotype" w:hAnsi="Palatino Linotype" w:cs="Arial"/>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Artículo 178.</w:t>
      </w:r>
      <w:r w:rsidRPr="00BF3B15">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CC3D37" w:rsidRPr="00BF3B15" w:rsidRDefault="00CC3D37" w:rsidP="003E5ABB">
      <w:pPr>
        <w:ind w:left="851" w:right="902"/>
        <w:jc w:val="both"/>
        <w:rPr>
          <w:rFonts w:ascii="Palatino Linotype" w:hAnsi="Palatino Linotype" w:cs="Arial"/>
          <w:i/>
          <w:sz w:val="22"/>
          <w:szCs w:val="22"/>
        </w:rPr>
      </w:pPr>
    </w:p>
    <w:p w:rsidR="003E5ABB" w:rsidRPr="00BF3B15" w:rsidRDefault="003E5ABB" w:rsidP="003E5ABB">
      <w:pPr>
        <w:ind w:left="851" w:right="902"/>
        <w:jc w:val="both"/>
        <w:rPr>
          <w:rFonts w:ascii="Palatino Linotype" w:hAnsi="Palatino Linotype" w:cs="Arial"/>
          <w:i/>
          <w:sz w:val="22"/>
          <w:szCs w:val="22"/>
        </w:rPr>
      </w:pPr>
      <w:r w:rsidRPr="00BF3B15">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CC3D37" w:rsidRPr="00BF3B15" w:rsidRDefault="00CC3D37" w:rsidP="003E5ABB">
      <w:pPr>
        <w:ind w:left="851" w:right="902"/>
        <w:jc w:val="both"/>
        <w:rPr>
          <w:rFonts w:ascii="Palatino Linotype" w:hAnsi="Palatino Linotype" w:cs="Arial"/>
          <w:i/>
          <w:sz w:val="22"/>
          <w:szCs w:val="22"/>
        </w:rPr>
      </w:pPr>
    </w:p>
    <w:p w:rsidR="003E5ABB" w:rsidRPr="00BF3B15" w:rsidRDefault="003E5ABB" w:rsidP="003E5ABB">
      <w:pPr>
        <w:ind w:left="851" w:right="902"/>
        <w:jc w:val="both"/>
        <w:rPr>
          <w:rFonts w:ascii="Palatino Linotype" w:hAnsi="Palatino Linotype" w:cs="Arial"/>
          <w:i/>
          <w:sz w:val="22"/>
          <w:szCs w:val="22"/>
        </w:rPr>
      </w:pPr>
      <w:r w:rsidRPr="00BF3B15">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BF3B15">
        <w:rPr>
          <w:rFonts w:ascii="Palatino Linotype" w:hAnsi="Palatino Linotype" w:cs="Arial"/>
          <w:i/>
          <w:sz w:val="22"/>
          <w:szCs w:val="22"/>
          <w:lang w:eastAsia="es-MX"/>
        </w:rPr>
        <w:t>siguiente</w:t>
      </w:r>
      <w:r w:rsidRPr="00BF3B15">
        <w:rPr>
          <w:rFonts w:ascii="Palatino Linotype" w:hAnsi="Palatino Linotype" w:cs="Arial"/>
          <w:i/>
          <w:sz w:val="22"/>
          <w:szCs w:val="22"/>
        </w:rPr>
        <w:t xml:space="preserve"> de haberlo recibido.”</w:t>
      </w:r>
    </w:p>
    <w:p w:rsidR="003E5ABB"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En esa tesitura, atendiendo a que </w:t>
      </w:r>
      <w:r w:rsidRPr="00BF3B15">
        <w:rPr>
          <w:rFonts w:ascii="Palatino Linotype" w:hAnsi="Palatino Linotype" w:cs="Arial"/>
          <w:b/>
        </w:rPr>
        <w:t>EL SUJETO OBLIGADO</w:t>
      </w:r>
      <w:r w:rsidRPr="00BF3B15">
        <w:rPr>
          <w:rFonts w:ascii="Palatino Linotype" w:hAnsi="Palatino Linotype" w:cs="Arial"/>
        </w:rPr>
        <w:t xml:space="preserve"> notificó la respuesta a la solicitud de información pública el día </w:t>
      </w:r>
      <w:r w:rsidR="0053242C" w:rsidRPr="00BF3B15">
        <w:rPr>
          <w:rFonts w:ascii="Palatino Linotype" w:hAnsi="Palatino Linotype" w:cs="Arial"/>
          <w:b/>
        </w:rPr>
        <w:t>once de enero de dos mil diecinueve</w:t>
      </w:r>
      <w:r w:rsidRPr="00BF3B15">
        <w:rPr>
          <w:rFonts w:ascii="Palatino Linotype" w:hAnsi="Palatino Linotype" w:cs="Arial"/>
        </w:rPr>
        <w:t>; así, el plazo de quince días hábiles que el artículo 178 de la Ley de la materia otorga a</w:t>
      </w:r>
      <w:r w:rsidR="0053242C" w:rsidRPr="00BF3B15">
        <w:rPr>
          <w:rFonts w:ascii="Palatino Linotype" w:hAnsi="Palatino Linotype" w:cs="Arial"/>
        </w:rPr>
        <w:t xml:space="preserve"> </w:t>
      </w:r>
      <w:r w:rsidRPr="00BF3B15">
        <w:rPr>
          <w:rFonts w:ascii="Palatino Linotype" w:hAnsi="Palatino Linotype" w:cs="Arial"/>
        </w:rPr>
        <w:t>l</w:t>
      </w:r>
      <w:r w:rsidR="0053242C" w:rsidRPr="00BF3B15">
        <w:rPr>
          <w:rFonts w:ascii="Palatino Linotype" w:hAnsi="Palatino Linotype" w:cs="Arial"/>
        </w:rPr>
        <w:t>a hoy</w:t>
      </w:r>
      <w:r w:rsidRPr="00BF3B15">
        <w:rPr>
          <w:rFonts w:ascii="Palatino Linotype" w:hAnsi="Palatino Linotype" w:cs="Arial"/>
          <w:b/>
        </w:rPr>
        <w:t xml:space="preserve"> RECURRENTE </w:t>
      </w:r>
      <w:r w:rsidRPr="00BF3B15">
        <w:rPr>
          <w:rFonts w:ascii="Palatino Linotype" w:hAnsi="Palatino Linotype" w:cs="Arial"/>
        </w:rPr>
        <w:t xml:space="preserve">para presentar el recurso de revisión, transcurrió del </w:t>
      </w:r>
      <w:r w:rsidR="0053242C" w:rsidRPr="00BF3B15">
        <w:rPr>
          <w:rFonts w:ascii="Palatino Linotype" w:hAnsi="Palatino Linotype" w:cs="Arial"/>
          <w:b/>
        </w:rPr>
        <w:t>catorce de enero al uno de febrero de dos mil diecinueve</w:t>
      </w:r>
      <w:r w:rsidRPr="00BF3B15">
        <w:rPr>
          <w:rFonts w:ascii="Palatino Linotype" w:hAnsi="Palatino Linotype" w:cs="Arial"/>
        </w:rPr>
        <w:t xml:space="preserve">, sin contemplar en el cómputo los días </w:t>
      </w:r>
      <w:r w:rsidR="0053242C" w:rsidRPr="00BF3B15">
        <w:rPr>
          <w:rFonts w:ascii="Palatino Linotype" w:hAnsi="Palatino Linotype" w:cs="Arial"/>
        </w:rPr>
        <w:t>doce, trece, diecinueve, veinte, veintiséis y veintisiete de enero de dos mil diecinueve</w:t>
      </w:r>
      <w:r w:rsidRPr="00BF3B15">
        <w:rPr>
          <w:rFonts w:ascii="Palatino Linotype" w:hAnsi="Palatino Linotype" w:cs="Arial"/>
        </w:rPr>
        <w:t xml:space="preserve">, por corresponder a sábados y domingos, considerados como días inhábiles, en términos </w:t>
      </w:r>
      <w:r w:rsidRPr="00BF3B15">
        <w:rPr>
          <w:rFonts w:ascii="Palatino Linotype" w:hAnsi="Palatino Linotype" w:cs="Arial"/>
        </w:rPr>
        <w:lastRenderedPageBreak/>
        <w:t xml:space="preserve">del artículo 3, fracción X de la </w:t>
      </w:r>
      <w:r w:rsidRPr="00BF3B15">
        <w:rPr>
          <w:rFonts w:ascii="Palatino Linotype" w:hAnsi="Palatino Linotype"/>
        </w:rPr>
        <w:t xml:space="preserve">Ley de Transparencia y Acceso a la Información Pública del Estado de México y Municipios. </w:t>
      </w:r>
    </w:p>
    <w:p w:rsidR="003E5ABB" w:rsidRPr="00BF3B15" w:rsidRDefault="003E5ABB" w:rsidP="003E5ABB">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En ese tenor, si el recurso de revisión que nos ocupa, se interpuso el </w:t>
      </w:r>
      <w:r w:rsidR="0053236B" w:rsidRPr="00BF3B15">
        <w:rPr>
          <w:rFonts w:ascii="Palatino Linotype" w:hAnsi="Palatino Linotype" w:cs="Arial"/>
          <w:b/>
          <w:lang w:eastAsia="es-MX"/>
        </w:rPr>
        <w:t>treinta de enero de dos mil diecinueve</w:t>
      </w:r>
      <w:r w:rsidRPr="00BF3B15">
        <w:rPr>
          <w:rFonts w:ascii="Palatino Linotype" w:hAnsi="Palatino Linotype" w:cs="Arial"/>
          <w:lang w:eastAsia="es-MX"/>
        </w:rPr>
        <w:t xml:space="preserve">, este se encuentra dentro de los márgenes temporales previstos en el precepto legal citado en el párrafo anterior y, por tanto, su interposición se considera oportuna. </w:t>
      </w:r>
    </w:p>
    <w:p w:rsidR="003E5ABB" w:rsidRPr="00BF3B15" w:rsidRDefault="003E5ABB" w:rsidP="003E5AB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cs="Arial"/>
          <w:b/>
          <w:sz w:val="28"/>
          <w:szCs w:val="28"/>
        </w:rPr>
        <w:t>CUARTO.</w:t>
      </w:r>
      <w:r w:rsidRPr="00BF3B15">
        <w:rPr>
          <w:rFonts w:ascii="Palatino Linotype" w:hAnsi="Palatino Linotype" w:cs="Arial"/>
          <w:b/>
          <w:szCs w:val="28"/>
        </w:rPr>
        <w:t xml:space="preserve"> Procedibilidad. </w:t>
      </w:r>
      <w:r w:rsidRPr="00BF3B15">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Pr="00BF3B15">
        <w:rPr>
          <w:rFonts w:ascii="Palatino Linotype" w:hAnsi="Palatino Linotype" w:cs="Arial"/>
          <w:b/>
          <w:szCs w:val="28"/>
        </w:rPr>
        <w:t>SAIMEX</w:t>
      </w:r>
      <w:r w:rsidRPr="00BF3B15">
        <w:rPr>
          <w:rFonts w:ascii="Palatino Linotype" w:hAnsi="Palatino Linotype" w:cs="Arial"/>
          <w:szCs w:val="28"/>
        </w:rPr>
        <w:t xml:space="preserve">. </w:t>
      </w:r>
    </w:p>
    <w:p w:rsidR="003E5ABB" w:rsidRPr="00BF3B15" w:rsidRDefault="003E5ABB" w:rsidP="003E5ABB">
      <w:pPr>
        <w:autoSpaceDE w:val="0"/>
        <w:autoSpaceDN w:val="0"/>
        <w:adjustRightInd w:val="0"/>
        <w:spacing w:before="100" w:beforeAutospacing="1" w:after="100" w:afterAutospacing="1" w:line="360" w:lineRule="auto"/>
        <w:ind w:right="49"/>
        <w:jc w:val="both"/>
        <w:rPr>
          <w:rFonts w:ascii="Palatino Linotype" w:hAnsi="Palatino Linotype"/>
          <w:b/>
        </w:rPr>
      </w:pPr>
      <w:r w:rsidRPr="00BF3B15">
        <w:rPr>
          <w:rFonts w:ascii="Palatino Linotype" w:hAnsi="Palatino Linotype" w:cs="Arial"/>
          <w:b/>
          <w:sz w:val="28"/>
          <w:szCs w:val="28"/>
        </w:rPr>
        <w:t xml:space="preserve">QUINTO. </w:t>
      </w:r>
      <w:r w:rsidRPr="00BF3B15">
        <w:rPr>
          <w:rFonts w:ascii="Palatino Linotype" w:hAnsi="Palatino Linotype" w:cs="Arial"/>
          <w:b/>
        </w:rPr>
        <w:t>Estudio y resolución del asunto</w:t>
      </w:r>
      <w:r w:rsidRPr="00BF3B15">
        <w:rPr>
          <w:rFonts w:ascii="Palatino Linotype" w:hAnsi="Palatino Linotype"/>
          <w:b/>
        </w:rPr>
        <w:t xml:space="preserve">. </w:t>
      </w:r>
      <w:r w:rsidRPr="00BF3B15">
        <w:rPr>
          <w:rFonts w:ascii="Palatino Linotype" w:hAnsi="Palatino Linotype" w:cs="Arial"/>
        </w:rPr>
        <w:t xml:space="preserve">Una vez determinada la vía sobre la que versará el presente recurso de revisión, es conveniente analizar si la respuesta del </w:t>
      </w:r>
      <w:r w:rsidRPr="00BF3B15">
        <w:rPr>
          <w:rFonts w:ascii="Palatino Linotype" w:hAnsi="Palatino Linotype" w:cs="Arial"/>
          <w:b/>
          <w:lang w:eastAsia="es-MX"/>
        </w:rPr>
        <w:t>SUJETO OBLIGADO</w:t>
      </w:r>
      <w:r w:rsidRPr="00BF3B15">
        <w:rPr>
          <w:rFonts w:ascii="Palatino Linotype" w:hAnsi="Palatino Linotype" w:cs="Arial"/>
        </w:rPr>
        <w:t xml:space="preserve"> cumple con los requisitos y procedimientos del derecho de acceso a la información pública. </w:t>
      </w:r>
    </w:p>
    <w:p w:rsidR="00CE0B55" w:rsidRPr="00BF3B15" w:rsidRDefault="003E5ABB" w:rsidP="003E5AB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BF3B15">
        <w:rPr>
          <w:rFonts w:ascii="Palatino Linotype" w:hAnsi="Palatino Linotype"/>
        </w:rPr>
        <w:t>En ese contexto, debemos</w:t>
      </w:r>
      <w:r w:rsidR="00CE0B55" w:rsidRPr="00BF3B15">
        <w:rPr>
          <w:rFonts w:ascii="Palatino Linotype" w:hAnsi="Palatino Linotype" w:cs="Arial"/>
        </w:rPr>
        <w:t xml:space="preserve"> recordar que la </w:t>
      </w:r>
      <w:r w:rsidRPr="00BF3B15">
        <w:rPr>
          <w:rFonts w:ascii="Palatino Linotype" w:hAnsi="Palatino Linotype" w:cs="Arial"/>
        </w:rPr>
        <w:t xml:space="preserve">solicitante requirió del </w:t>
      </w:r>
      <w:r w:rsidRPr="00BF3B15">
        <w:rPr>
          <w:rFonts w:ascii="Palatino Linotype" w:hAnsi="Palatino Linotype" w:cs="Arial"/>
          <w:b/>
        </w:rPr>
        <w:t xml:space="preserve">SUJETO OBLIGADO </w:t>
      </w:r>
      <w:r w:rsidR="003E3448" w:rsidRPr="00BF3B15">
        <w:rPr>
          <w:rFonts w:ascii="Palatino Linotype" w:hAnsi="Palatino Linotype" w:cs="Arial"/>
        </w:rPr>
        <w:t xml:space="preserve">información </w:t>
      </w:r>
      <w:r w:rsidR="00CE0B55" w:rsidRPr="00BF3B15">
        <w:rPr>
          <w:rFonts w:ascii="Palatino Linotype" w:hAnsi="Palatino Linotype" w:cs="Arial"/>
        </w:rPr>
        <w:t xml:space="preserve">de la Dirección de Seguridad Pública Municipal, </w:t>
      </w:r>
      <w:r w:rsidR="003E3448" w:rsidRPr="00BF3B15">
        <w:rPr>
          <w:rFonts w:ascii="Palatino Linotype" w:hAnsi="Palatino Linotype" w:cs="Arial"/>
        </w:rPr>
        <w:t xml:space="preserve">consistente en la siguiente: </w:t>
      </w:r>
    </w:p>
    <w:p w:rsidR="00CE0B55" w:rsidRPr="00BF3B15" w:rsidRDefault="00CE0B55" w:rsidP="00CE0B55">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Los </w:t>
      </w:r>
      <w:r w:rsidR="003E3448" w:rsidRPr="00BF3B15">
        <w:rPr>
          <w:rFonts w:ascii="Palatino Linotype" w:hAnsi="Palatino Linotype" w:cs="Arial"/>
        </w:rPr>
        <w:t xml:space="preserve">recibos </w:t>
      </w:r>
      <w:r w:rsidRPr="00BF3B15">
        <w:rPr>
          <w:rFonts w:ascii="Palatino Linotype" w:hAnsi="Palatino Linotype" w:cs="Arial"/>
        </w:rPr>
        <w:t xml:space="preserve">de pago de los servidores públicos </w:t>
      </w:r>
      <w:r w:rsidR="003E3448" w:rsidRPr="00BF3B15">
        <w:rPr>
          <w:rFonts w:ascii="Palatino Linotype" w:hAnsi="Palatino Linotype" w:cs="Arial"/>
        </w:rPr>
        <w:t xml:space="preserve">adscritos a dicha Dirección </w:t>
      </w:r>
      <w:r w:rsidRPr="00BF3B15">
        <w:rPr>
          <w:rFonts w:ascii="Palatino Linotype" w:hAnsi="Palatino Linotype" w:cs="Arial"/>
        </w:rPr>
        <w:t>correspondientes a la primera quincena del mes de noviembre de 2018</w:t>
      </w:r>
      <w:r w:rsidRPr="00BF3B15">
        <w:rPr>
          <w:rStyle w:val="Refdenotaalpie"/>
          <w:rFonts w:ascii="Palatino Linotype" w:hAnsi="Palatino Linotype" w:cs="Arial"/>
        </w:rPr>
        <w:footnoteReference w:id="1"/>
      </w:r>
      <w:r w:rsidRPr="00BF3B15">
        <w:rPr>
          <w:rFonts w:ascii="Palatino Linotype" w:hAnsi="Palatino Linotype" w:cs="Arial"/>
        </w:rPr>
        <w:t>.</w:t>
      </w:r>
    </w:p>
    <w:p w:rsidR="00CE0B55" w:rsidRPr="00BF3B15" w:rsidRDefault="00CE0B55" w:rsidP="00CE0B55">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lastRenderedPageBreak/>
        <w:t>El número de</w:t>
      </w:r>
      <w:r w:rsidR="003E3448" w:rsidRPr="00BF3B15">
        <w:rPr>
          <w:rFonts w:ascii="Palatino Linotype" w:hAnsi="Palatino Linotype" w:cs="Arial"/>
        </w:rPr>
        <w:t>l parque vehicular, asignado a la Dirección; y,</w:t>
      </w:r>
    </w:p>
    <w:p w:rsidR="00CE0B55" w:rsidRPr="00BF3B15" w:rsidRDefault="00CE0B55" w:rsidP="00CE0B55">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El número de</w:t>
      </w:r>
      <w:r w:rsidR="003E3448" w:rsidRPr="00BF3B15">
        <w:rPr>
          <w:rFonts w:ascii="Palatino Linotype" w:hAnsi="Palatino Linotype" w:cs="Arial"/>
        </w:rPr>
        <w:t xml:space="preserve">l </w:t>
      </w:r>
      <w:r w:rsidRPr="00BF3B15">
        <w:rPr>
          <w:rFonts w:ascii="Palatino Linotype" w:hAnsi="Palatino Linotype" w:cs="Arial"/>
        </w:rPr>
        <w:t>equipo con el que cuenta.</w:t>
      </w:r>
    </w:p>
    <w:p w:rsidR="00311F40" w:rsidRPr="00BF3B15" w:rsidRDefault="003E5ABB" w:rsidP="003E5ABB">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BF3B15">
        <w:rPr>
          <w:rFonts w:ascii="Palatino Linotype" w:hAnsi="Palatino Linotype"/>
          <w:color w:val="000000"/>
        </w:rPr>
        <w:t>E</w:t>
      </w:r>
      <w:r w:rsidRPr="00BF3B15">
        <w:rPr>
          <w:rFonts w:ascii="Palatino Linotype" w:hAnsi="Palatino Linotype" w:cs="Arial"/>
        </w:rPr>
        <w:t xml:space="preserve">n respuesta a la solicitud de acceso a la información pública, </w:t>
      </w:r>
      <w:r w:rsidRPr="00BF3B15">
        <w:rPr>
          <w:rFonts w:ascii="Palatino Linotype" w:hAnsi="Palatino Linotype" w:cs="Arial"/>
          <w:b/>
        </w:rPr>
        <w:t xml:space="preserve">EL SUJETO OBLIGADO </w:t>
      </w:r>
      <w:r w:rsidRPr="00BF3B15">
        <w:rPr>
          <w:rFonts w:ascii="Palatino Linotype" w:hAnsi="Palatino Linotype" w:cs="Arial"/>
        </w:rPr>
        <w:t xml:space="preserve">adjuntó </w:t>
      </w:r>
      <w:r w:rsidR="00CE0B55" w:rsidRPr="00BF3B15">
        <w:rPr>
          <w:rFonts w:ascii="Palatino Linotype" w:hAnsi="Palatino Linotype" w:cs="Arial"/>
        </w:rPr>
        <w:t>el Acta de la Vigésima Novena Sesión Ordinaria del Comité de Transparencia</w:t>
      </w:r>
      <w:r w:rsidR="003E3448" w:rsidRPr="00BF3B15">
        <w:rPr>
          <w:rFonts w:ascii="Palatino Linotype" w:hAnsi="Palatino Linotype" w:cs="Arial"/>
        </w:rPr>
        <w:t>,</w:t>
      </w:r>
      <w:r w:rsidR="00CE0B55" w:rsidRPr="00BF3B15">
        <w:rPr>
          <w:rFonts w:ascii="Palatino Linotype" w:hAnsi="Palatino Linotype" w:cs="Arial"/>
        </w:rPr>
        <w:t xml:space="preserve"> de fecha doce de diciembre de dos mil dieciocho, mediante la cual clasificó como reservada la información solicitada</w:t>
      </w:r>
      <w:r w:rsidR="003E3448" w:rsidRPr="00BF3B15">
        <w:rPr>
          <w:rFonts w:ascii="Palatino Linotype" w:hAnsi="Palatino Linotype" w:cs="Arial"/>
        </w:rPr>
        <w:t>,</w:t>
      </w:r>
      <w:r w:rsidR="00CE0B55" w:rsidRPr="00BF3B15">
        <w:rPr>
          <w:rFonts w:ascii="Palatino Linotype" w:hAnsi="Palatino Linotype" w:cs="Arial"/>
        </w:rPr>
        <w:t xml:space="preserve"> </w:t>
      </w:r>
      <w:r w:rsidR="00311F40" w:rsidRPr="00BF3B15">
        <w:rPr>
          <w:rFonts w:ascii="Palatino Linotype" w:hAnsi="Palatino Linotype" w:cs="Arial"/>
        </w:rPr>
        <w:t>por un periodo de seis meses, a través del Acuerdo número CTMET/029/129/2018.</w:t>
      </w:r>
    </w:p>
    <w:p w:rsidR="003E5ABB" w:rsidRPr="00BF3B15" w:rsidRDefault="003E5ABB" w:rsidP="003E5ABB">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BF3B15">
        <w:rPr>
          <w:rFonts w:ascii="Palatino Linotype" w:hAnsi="Palatino Linotype"/>
        </w:rPr>
        <w:t>Inconforme con la respuesta proporcionada</w:t>
      </w:r>
      <w:r w:rsidR="003E3448" w:rsidRPr="00BF3B15">
        <w:rPr>
          <w:rFonts w:ascii="Palatino Linotype" w:hAnsi="Palatino Linotype"/>
        </w:rPr>
        <w:t>,</w:t>
      </w:r>
      <w:r w:rsidRPr="00BF3B15">
        <w:rPr>
          <w:rFonts w:ascii="Palatino Linotype" w:hAnsi="Palatino Linotype"/>
        </w:rPr>
        <w:t xml:space="preserve"> </w:t>
      </w:r>
      <w:r w:rsidR="00311F40" w:rsidRPr="00BF3B15">
        <w:rPr>
          <w:rFonts w:ascii="Palatino Linotype" w:hAnsi="Palatino Linotype" w:cs="Arial"/>
          <w:b/>
          <w:color w:val="000000"/>
          <w:lang w:eastAsia="es-MX"/>
        </w:rPr>
        <w:t>LA</w:t>
      </w:r>
      <w:r w:rsidRPr="00BF3B15">
        <w:rPr>
          <w:rFonts w:ascii="Palatino Linotype" w:hAnsi="Palatino Linotype" w:cs="Arial"/>
          <w:b/>
          <w:color w:val="000000"/>
          <w:lang w:eastAsia="es-MX"/>
        </w:rPr>
        <w:t xml:space="preserve"> RECURRENTE</w:t>
      </w:r>
      <w:r w:rsidRPr="00BF3B15">
        <w:rPr>
          <w:rFonts w:ascii="Palatino Linotype" w:hAnsi="Palatino Linotype" w:cs="Arial"/>
          <w:lang w:val="es-ES_tradnl"/>
        </w:rPr>
        <w:t xml:space="preserve"> interpuso el recurso de revisión de mérito, en el que manifestó como razones o motivos de inconformidad </w:t>
      </w:r>
      <w:r w:rsidR="00311F40" w:rsidRPr="00BF3B15">
        <w:rPr>
          <w:rFonts w:ascii="Palatino Linotype" w:hAnsi="Palatino Linotype" w:cs="Arial"/>
          <w:lang w:val="es-ES_tradnl"/>
        </w:rPr>
        <w:t xml:space="preserve">lo señalado en el Resultando </w:t>
      </w:r>
      <w:r w:rsidRPr="00BF3B15">
        <w:rPr>
          <w:rFonts w:ascii="Palatino Linotype" w:hAnsi="Palatino Linotype" w:cs="Arial"/>
          <w:lang w:val="es-ES_tradnl"/>
        </w:rPr>
        <w:t>V de la presente resolución.</w:t>
      </w:r>
    </w:p>
    <w:p w:rsidR="00311F40"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Bajo ese tenor, </w:t>
      </w:r>
      <w:r w:rsidR="00311F40" w:rsidRPr="00BF3B15">
        <w:rPr>
          <w:rFonts w:ascii="Palatino Linotype" w:hAnsi="Palatino Linotype" w:cs="Arial"/>
        </w:rPr>
        <w:t xml:space="preserve">una vez admitido el recurso de revisión en comento, </w:t>
      </w:r>
      <w:r w:rsidR="00311F40" w:rsidRPr="00BF3B15">
        <w:rPr>
          <w:rFonts w:ascii="Palatino Linotype" w:hAnsi="Palatino Linotype" w:cs="Arial"/>
          <w:b/>
        </w:rPr>
        <w:t xml:space="preserve">EL SUJETO OBLIGADO </w:t>
      </w:r>
      <w:r w:rsidRPr="00BF3B15">
        <w:rPr>
          <w:rFonts w:ascii="Palatino Linotype" w:hAnsi="Palatino Linotype" w:cs="Arial"/>
        </w:rPr>
        <w:t xml:space="preserve">mediante Informe Justificado </w:t>
      </w:r>
      <w:r w:rsidR="00311F40" w:rsidRPr="00BF3B15">
        <w:rPr>
          <w:rFonts w:ascii="Palatino Linotype" w:hAnsi="Palatino Linotype" w:cs="Arial"/>
        </w:rPr>
        <w:t>esencialmente rat</w:t>
      </w:r>
      <w:r w:rsidR="003E3448" w:rsidRPr="00BF3B15">
        <w:rPr>
          <w:rFonts w:ascii="Palatino Linotype" w:hAnsi="Palatino Linotype" w:cs="Arial"/>
        </w:rPr>
        <w:t>ificó su respuesta mientras que</w:t>
      </w:r>
      <w:r w:rsidR="00311F40" w:rsidRPr="00BF3B15">
        <w:rPr>
          <w:rFonts w:ascii="Palatino Linotype" w:hAnsi="Palatino Linotype" w:cs="Arial"/>
        </w:rPr>
        <w:t xml:space="preserve"> </w:t>
      </w:r>
      <w:r w:rsidR="00311F40" w:rsidRPr="00BF3B15">
        <w:rPr>
          <w:rFonts w:ascii="Palatino Linotype" w:hAnsi="Palatino Linotype" w:cs="Arial"/>
          <w:b/>
        </w:rPr>
        <w:t xml:space="preserve">LA </w:t>
      </w:r>
      <w:r w:rsidRPr="00BF3B15">
        <w:rPr>
          <w:rFonts w:ascii="Palatino Linotype" w:hAnsi="Palatino Linotype" w:cs="Arial"/>
          <w:b/>
        </w:rPr>
        <w:t xml:space="preserve">RECURRENTE </w:t>
      </w:r>
      <w:r w:rsidR="00311F40" w:rsidRPr="00BF3B15">
        <w:rPr>
          <w:rFonts w:ascii="Palatino Linotype" w:hAnsi="Palatino Linotype" w:cs="Arial"/>
        </w:rPr>
        <w:t xml:space="preserve">fue omisa en realizar las manifestaciones, alegatos y ofrecer las pruebas que a su derecho </w:t>
      </w:r>
      <w:r w:rsidR="00311F40" w:rsidRPr="00BF3B15">
        <w:rPr>
          <w:rFonts w:ascii="Palatino Linotype" w:hAnsi="Palatino Linotype" w:cs="Arial"/>
          <w:lang w:val="es-ES_tradnl"/>
        </w:rPr>
        <w:t>convinieran.</w:t>
      </w:r>
    </w:p>
    <w:p w:rsidR="003E5ABB"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Una vez precisado lo anterior, esta Ponencia Resolutora considera necesario establecer que el recurso en estudio resultó procedente</w:t>
      </w:r>
      <w:r w:rsidR="003E3448" w:rsidRPr="00BF3B15">
        <w:rPr>
          <w:rFonts w:ascii="Palatino Linotype" w:hAnsi="Palatino Linotype" w:cs="Arial"/>
        </w:rPr>
        <w:t>,</w:t>
      </w:r>
      <w:r w:rsidRPr="00BF3B15">
        <w:rPr>
          <w:rFonts w:ascii="Palatino Linotype" w:hAnsi="Palatino Linotype" w:cs="Arial"/>
        </w:rPr>
        <w:t xml:space="preserve"> toda vez que se actualiza</w:t>
      </w:r>
      <w:r w:rsidR="00311F40" w:rsidRPr="00BF3B15">
        <w:rPr>
          <w:rFonts w:ascii="Palatino Linotype" w:hAnsi="Palatino Linotype" w:cs="Arial"/>
        </w:rPr>
        <w:t xml:space="preserve"> la fracción </w:t>
      </w:r>
      <w:r w:rsidRPr="00BF3B15">
        <w:rPr>
          <w:rFonts w:ascii="Palatino Linotype" w:hAnsi="Palatino Linotype" w:cs="Arial"/>
        </w:rPr>
        <w:t>II del artículo 179 de la Ley de Transparencia y Acceso a la Información Pública del Estado de México y Municipios el cual a la letra reza:</w:t>
      </w:r>
    </w:p>
    <w:p w:rsidR="003E5ABB" w:rsidRPr="00BF3B15" w:rsidRDefault="00311F40" w:rsidP="003E5ABB">
      <w:pPr>
        <w:ind w:left="851" w:right="899"/>
        <w:jc w:val="both"/>
        <w:rPr>
          <w:rFonts w:ascii="Palatino Linotype" w:hAnsi="Palatino Linotype"/>
          <w:i/>
          <w:sz w:val="22"/>
          <w:szCs w:val="22"/>
        </w:rPr>
      </w:pPr>
      <w:r w:rsidRPr="00BF3B15">
        <w:rPr>
          <w:rFonts w:ascii="Palatino Linotype" w:hAnsi="Palatino Linotype"/>
          <w:b/>
          <w:i/>
          <w:sz w:val="22"/>
          <w:szCs w:val="22"/>
        </w:rPr>
        <w:t>“</w:t>
      </w:r>
      <w:r w:rsidR="003E5ABB" w:rsidRPr="00BF3B15">
        <w:rPr>
          <w:rFonts w:ascii="Palatino Linotype" w:hAnsi="Palatino Linotype"/>
          <w:b/>
          <w:i/>
          <w:sz w:val="22"/>
          <w:szCs w:val="22"/>
        </w:rPr>
        <w:t>Artículo 179.</w:t>
      </w:r>
      <w:r w:rsidR="003E5ABB" w:rsidRPr="00BF3B15">
        <w:rPr>
          <w:rFonts w:ascii="Palatino Linotype" w:hAnsi="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3E5ABB" w:rsidRPr="00BF3B15" w:rsidRDefault="003E5ABB" w:rsidP="003E5ABB">
      <w:pPr>
        <w:ind w:left="851" w:right="899"/>
        <w:jc w:val="both"/>
        <w:rPr>
          <w:rFonts w:ascii="Palatino Linotype" w:hAnsi="Palatino Linotype"/>
          <w:i/>
          <w:sz w:val="22"/>
          <w:szCs w:val="22"/>
        </w:rPr>
      </w:pPr>
      <w:r w:rsidRPr="00BF3B15">
        <w:rPr>
          <w:rFonts w:ascii="Palatino Linotype" w:hAnsi="Palatino Linotype"/>
          <w:i/>
          <w:sz w:val="22"/>
          <w:szCs w:val="22"/>
        </w:rPr>
        <w:t>…</w:t>
      </w:r>
    </w:p>
    <w:p w:rsidR="003E5ABB" w:rsidRPr="00BF3B15" w:rsidRDefault="003E5ABB" w:rsidP="003E5ABB">
      <w:pPr>
        <w:ind w:left="851" w:right="899"/>
        <w:jc w:val="both"/>
        <w:rPr>
          <w:rFonts w:ascii="Palatino Linotype" w:hAnsi="Palatino Linotype"/>
          <w:b/>
          <w:i/>
          <w:sz w:val="22"/>
          <w:szCs w:val="22"/>
        </w:rPr>
      </w:pPr>
      <w:r w:rsidRPr="00BF3B15">
        <w:rPr>
          <w:rFonts w:ascii="Palatino Linotype" w:hAnsi="Palatino Linotype"/>
          <w:b/>
          <w:i/>
          <w:sz w:val="22"/>
          <w:szCs w:val="22"/>
        </w:rPr>
        <w:lastRenderedPageBreak/>
        <w:t>II.</w:t>
      </w:r>
      <w:r w:rsidRPr="00BF3B15">
        <w:rPr>
          <w:rFonts w:ascii="Palatino Linotype" w:hAnsi="Palatino Linotype"/>
          <w:i/>
          <w:sz w:val="22"/>
          <w:szCs w:val="22"/>
        </w:rPr>
        <w:t xml:space="preserve"> </w:t>
      </w:r>
      <w:r w:rsidRPr="00BF3B15">
        <w:rPr>
          <w:rFonts w:ascii="Palatino Linotype" w:hAnsi="Palatino Linotype"/>
          <w:b/>
          <w:i/>
          <w:sz w:val="22"/>
          <w:szCs w:val="22"/>
        </w:rPr>
        <w:t xml:space="preserve">La </w:t>
      </w:r>
      <w:r w:rsidR="00311F40" w:rsidRPr="00BF3B15">
        <w:rPr>
          <w:rFonts w:ascii="Palatino Linotype" w:hAnsi="Palatino Linotype"/>
          <w:b/>
          <w:i/>
          <w:sz w:val="22"/>
          <w:szCs w:val="22"/>
        </w:rPr>
        <w:t>clasificación de la información;</w:t>
      </w:r>
    </w:p>
    <w:p w:rsidR="00311F40" w:rsidRPr="00BF3B15" w:rsidRDefault="00311F40" w:rsidP="003E5ABB">
      <w:pPr>
        <w:ind w:left="851" w:right="899"/>
        <w:jc w:val="both"/>
        <w:rPr>
          <w:rFonts w:ascii="Palatino Linotype" w:hAnsi="Palatino Linotype"/>
          <w:b/>
          <w:i/>
          <w:sz w:val="22"/>
          <w:szCs w:val="22"/>
        </w:rPr>
      </w:pPr>
      <w:r w:rsidRPr="00BF3B15">
        <w:rPr>
          <w:rFonts w:ascii="Palatino Linotype" w:hAnsi="Palatino Linotype"/>
          <w:b/>
          <w:i/>
          <w:sz w:val="22"/>
          <w:szCs w:val="22"/>
        </w:rPr>
        <w:t>…”</w:t>
      </w:r>
    </w:p>
    <w:p w:rsidR="00311F40" w:rsidRPr="00BF3B15" w:rsidRDefault="00311F40" w:rsidP="003E5ABB">
      <w:pPr>
        <w:ind w:left="851" w:right="899"/>
        <w:jc w:val="both"/>
      </w:pPr>
      <w:r w:rsidRPr="00BF3B15">
        <w:rPr>
          <w:rFonts w:ascii="Palatino Linotype" w:hAnsi="Palatino Linotype"/>
          <w:i/>
          <w:sz w:val="22"/>
          <w:szCs w:val="22"/>
        </w:rPr>
        <w:t>(Énfasis añadido)</w:t>
      </w:r>
    </w:p>
    <w:p w:rsidR="00311F40"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Precepto legal del cual se desprende que los particulares podrán interponer el recurso de revisión cuando los Sujetos Obligados </w:t>
      </w:r>
      <w:r w:rsidR="00311F40" w:rsidRPr="00BF3B15">
        <w:rPr>
          <w:rFonts w:ascii="Palatino Linotype" w:hAnsi="Palatino Linotype" w:cs="Arial"/>
        </w:rPr>
        <w:t>clasifiquen la información solicitada y aquellos consideren que resulta desfavorable a sus intereses.</w:t>
      </w:r>
    </w:p>
    <w:p w:rsidR="003E5ABB" w:rsidRPr="00BF3B15" w:rsidRDefault="003E5ABB" w:rsidP="003E5ABB">
      <w:pPr>
        <w:spacing w:before="100" w:beforeAutospacing="1" w:after="100" w:afterAutospacing="1" w:line="360" w:lineRule="auto"/>
        <w:jc w:val="both"/>
        <w:rPr>
          <w:rFonts w:ascii="Palatino Linotype" w:hAnsi="Palatino Linotype"/>
        </w:rPr>
      </w:pPr>
      <w:r w:rsidRPr="00BF3B15">
        <w:rPr>
          <w:rFonts w:ascii="Palatino Linotype" w:hAnsi="Palatino Linotype" w:cs="Arial"/>
          <w:lang w:val="es-ES_tradnl"/>
        </w:rPr>
        <w:t xml:space="preserve">Así, </w:t>
      </w:r>
      <w:r w:rsidRPr="00BF3B15">
        <w:rPr>
          <w:rFonts w:ascii="Palatino Linotype" w:hAnsi="Palatino Linotype" w:cs="Arial"/>
        </w:rPr>
        <w:t>se obvia el análisis de la competencia por parte del</w:t>
      </w:r>
      <w:r w:rsidRPr="00BF3B15">
        <w:rPr>
          <w:rFonts w:ascii="Palatino Linotype" w:hAnsi="Palatino Linotype" w:cs="Arial"/>
          <w:b/>
        </w:rPr>
        <w:t xml:space="preserve"> SUJETO OBLIGADO</w:t>
      </w:r>
      <w:r w:rsidRPr="00BF3B15">
        <w:rPr>
          <w:rFonts w:ascii="Palatino Linotype" w:hAnsi="Palatino Linotype" w:cs="Arial"/>
        </w:rPr>
        <w:t xml:space="preserve"> </w:t>
      </w:r>
      <w:r w:rsidRPr="00BF3B15">
        <w:rPr>
          <w:rFonts w:ascii="Palatino Linotype" w:hAnsi="Palatino Linotype"/>
        </w:rPr>
        <w:t xml:space="preserve">para generar, administrar o poseer la información solicitada, </w:t>
      </w:r>
      <w:r w:rsidRPr="00BF3B15">
        <w:rPr>
          <w:rFonts w:ascii="Palatino Linotype" w:hAnsi="Palatino Linotype" w:cs="Arial"/>
        </w:rPr>
        <w:t xml:space="preserve">dado que éste ha </w:t>
      </w:r>
      <w:r w:rsidRPr="00BF3B15">
        <w:rPr>
          <w:rFonts w:ascii="Palatino Linotype" w:hAnsi="Palatino Linotype" w:cs="Arial"/>
          <w:color w:val="000000"/>
        </w:rPr>
        <w:t>asumido</w:t>
      </w:r>
      <w:r w:rsidRPr="00BF3B15">
        <w:rPr>
          <w:rFonts w:ascii="Palatino Linotype" w:hAnsi="Palatino Linotype" w:cs="Arial"/>
        </w:rPr>
        <w:t xml:space="preserve"> la misma, </w:t>
      </w:r>
      <w:r w:rsidRPr="00BF3B15">
        <w:rPr>
          <w:rFonts w:ascii="Palatino Linotype" w:hAnsi="Palatino Linotype"/>
        </w:rPr>
        <w:t>en razón de que mediante su respuesta argumentó que</w:t>
      </w:r>
      <w:r w:rsidR="001112B1" w:rsidRPr="00BF3B15">
        <w:rPr>
          <w:rFonts w:ascii="Palatino Linotype" w:hAnsi="Palatino Linotype"/>
        </w:rPr>
        <w:t xml:space="preserve"> ha dicha información le revestía el carácter de reservada ya que, de hacerse pública se vulnerar</w:t>
      </w:r>
      <w:r w:rsidR="00EA713C" w:rsidRPr="00BF3B15">
        <w:rPr>
          <w:rFonts w:ascii="Palatino Linotype" w:hAnsi="Palatino Linotype"/>
        </w:rPr>
        <w:t>í</w:t>
      </w:r>
      <w:r w:rsidR="001112B1" w:rsidRPr="00BF3B15">
        <w:rPr>
          <w:rFonts w:ascii="Palatino Linotype" w:hAnsi="Palatino Linotype"/>
        </w:rPr>
        <w:t>a la integridad de los elementos de seguridad pública y se revelaría el estado de fuerza con que cuenta el Municipio</w:t>
      </w:r>
      <w:r w:rsidRPr="00BF3B15">
        <w:rPr>
          <w:rFonts w:ascii="Palatino Linotype" w:hAnsi="Palatino Linotype"/>
        </w:rPr>
        <w:t xml:space="preserve">; razón por la cual, al haberse pronunciado </w:t>
      </w:r>
      <w:r w:rsidRPr="00BF3B15">
        <w:rPr>
          <w:rFonts w:ascii="Palatino Linotype" w:hAnsi="Palatino Linotype"/>
          <w:b/>
        </w:rPr>
        <w:t>EL SUJETO OBLIGADO</w:t>
      </w:r>
      <w:r w:rsidRPr="00BF3B15">
        <w:rPr>
          <w:rFonts w:ascii="Palatino Linotype" w:hAnsi="Palatino Linotype"/>
        </w:rPr>
        <w:t xml:space="preserve"> respecto de la información solicitada, </w:t>
      </w:r>
      <w:r w:rsidRPr="00BF3B15">
        <w:rPr>
          <w:rFonts w:ascii="Palatino Linotype" w:hAnsi="Palatino Linotype" w:cs="Arial"/>
        </w:rPr>
        <w:t xml:space="preserve">es que </w:t>
      </w:r>
      <w:r w:rsidRPr="00BF3B15">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3E5ABB" w:rsidRPr="00BF3B15" w:rsidRDefault="003E5ABB" w:rsidP="003E5ABB">
      <w:pPr>
        <w:spacing w:before="100" w:beforeAutospacing="1" w:after="100" w:afterAutospacing="1" w:line="360" w:lineRule="auto"/>
        <w:ind w:right="49"/>
        <w:jc w:val="both"/>
        <w:rPr>
          <w:rFonts w:ascii="Palatino Linotype" w:hAnsi="Palatino Linotype"/>
        </w:rPr>
      </w:pPr>
      <w:r w:rsidRPr="00BF3B15">
        <w:rPr>
          <w:rFonts w:ascii="Palatino Linotype" w:hAnsi="Palatino Linotype"/>
        </w:rPr>
        <w:t xml:space="preserve">Por lo que, el estudio de la naturaleza jurídica de la información pública solicitada, tiene por objeto determinar si ésta la genera, posee o administra </w:t>
      </w:r>
      <w:r w:rsidRPr="00BF3B15">
        <w:rPr>
          <w:rFonts w:ascii="Palatino Linotype" w:hAnsi="Palatino Linotype"/>
          <w:b/>
        </w:rPr>
        <w:t>EL SUJETO OBLIGADO</w:t>
      </w:r>
      <w:r w:rsidRPr="00BF3B15">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BF3B15">
        <w:rPr>
          <w:rFonts w:ascii="Palatino Linotype" w:hAnsi="Palatino Linotype"/>
          <w:b/>
        </w:rPr>
        <w:t>EL SUJETO OBLIGADO</w:t>
      </w:r>
      <w:r w:rsidRPr="00BF3B15">
        <w:rPr>
          <w:rFonts w:ascii="Palatino Linotype" w:hAnsi="Palatino Linotype"/>
        </w:rPr>
        <w:t>.</w:t>
      </w:r>
    </w:p>
    <w:p w:rsidR="00476058" w:rsidRPr="00BF3B15" w:rsidRDefault="00476058" w:rsidP="00476058">
      <w:pPr>
        <w:spacing w:before="100" w:beforeAutospacing="1" w:after="100" w:afterAutospacing="1" w:line="360" w:lineRule="auto"/>
        <w:ind w:right="49"/>
        <w:jc w:val="both"/>
        <w:rPr>
          <w:rFonts w:ascii="Palatino Linotype" w:hAnsi="Palatino Linotype" w:cs="Arial"/>
        </w:rPr>
      </w:pPr>
      <w:r w:rsidRPr="00BF3B15">
        <w:rPr>
          <w:rFonts w:ascii="Palatino Linotype" w:hAnsi="Palatino Linotype"/>
        </w:rPr>
        <w:t xml:space="preserve">Una vez precisado lo anterior, </w:t>
      </w:r>
      <w:r w:rsidR="00DF0F8C" w:rsidRPr="00BF3B15">
        <w:rPr>
          <w:rFonts w:ascii="Palatino Linotype" w:hAnsi="Palatino Linotype"/>
        </w:rPr>
        <w:t xml:space="preserve">se considera que las razones o motivos de inconformidad expuestas por la hoy </w:t>
      </w:r>
      <w:r w:rsidR="00DF0F8C" w:rsidRPr="00BF3B15">
        <w:rPr>
          <w:rFonts w:ascii="Palatino Linotype" w:hAnsi="Palatino Linotype"/>
          <w:b/>
        </w:rPr>
        <w:t xml:space="preserve">RECURRENTE </w:t>
      </w:r>
      <w:r w:rsidR="00DF0F8C" w:rsidRPr="00BF3B15">
        <w:rPr>
          <w:rFonts w:ascii="Palatino Linotype" w:hAnsi="Palatino Linotype"/>
        </w:rPr>
        <w:t xml:space="preserve">devienen </w:t>
      </w:r>
      <w:r w:rsidR="00DF0F8C" w:rsidRPr="00BF3B15">
        <w:rPr>
          <w:rFonts w:ascii="Palatino Linotype" w:hAnsi="Palatino Linotype"/>
          <w:b/>
        </w:rPr>
        <w:t>fundadas</w:t>
      </w:r>
      <w:r w:rsidR="00EA713C" w:rsidRPr="00BF3B15">
        <w:rPr>
          <w:rFonts w:ascii="Palatino Linotype" w:hAnsi="Palatino Linotype"/>
          <w:b/>
        </w:rPr>
        <w:t>,</w:t>
      </w:r>
      <w:r w:rsidR="00DF0F8C" w:rsidRPr="00BF3B15">
        <w:rPr>
          <w:rFonts w:ascii="Palatino Linotype" w:hAnsi="Palatino Linotype"/>
          <w:b/>
        </w:rPr>
        <w:t xml:space="preserve"> </w:t>
      </w:r>
      <w:r w:rsidRPr="00BF3B15">
        <w:rPr>
          <w:rFonts w:ascii="Palatino Linotype" w:hAnsi="Palatino Linotype"/>
        </w:rPr>
        <w:t xml:space="preserve">toda vez que la respuesta del </w:t>
      </w:r>
      <w:r w:rsidR="00DF0F8C" w:rsidRPr="00BF3B15">
        <w:rPr>
          <w:rFonts w:ascii="Palatino Linotype" w:hAnsi="Palatino Linotype"/>
          <w:b/>
        </w:rPr>
        <w:t xml:space="preserve">SUJETO OBLIGADO </w:t>
      </w:r>
      <w:r w:rsidR="00DF0F8C" w:rsidRPr="00BF3B15">
        <w:rPr>
          <w:rFonts w:ascii="Palatino Linotype" w:hAnsi="Palatino Linotype"/>
        </w:rPr>
        <w:t>c</w:t>
      </w:r>
      <w:r w:rsidRPr="00BF3B15">
        <w:rPr>
          <w:rFonts w:ascii="Palatino Linotype" w:hAnsi="Palatino Linotype"/>
        </w:rPr>
        <w:t xml:space="preserve">arece de una debida fundamentación y </w:t>
      </w:r>
      <w:r w:rsidRPr="00BF3B15">
        <w:rPr>
          <w:rFonts w:ascii="Palatino Linotype" w:hAnsi="Palatino Linotype"/>
        </w:rPr>
        <w:lastRenderedPageBreak/>
        <w:t>motivación</w:t>
      </w:r>
      <w:r w:rsidR="00EA713C" w:rsidRPr="00BF3B15">
        <w:rPr>
          <w:rFonts w:ascii="Palatino Linotype" w:hAnsi="Palatino Linotype"/>
        </w:rPr>
        <w:t>, en atención a que la información es pública</w:t>
      </w:r>
      <w:r w:rsidRPr="00BF3B15">
        <w:rPr>
          <w:rFonts w:ascii="Palatino Linotype" w:hAnsi="Palatino Linotype"/>
        </w:rPr>
        <w:t xml:space="preserve">. </w:t>
      </w:r>
      <w:r w:rsidRPr="00BF3B15">
        <w:rPr>
          <w:rFonts w:ascii="Palatino Linotype" w:hAnsi="Palatino Linotype" w:cs="Arial"/>
        </w:rPr>
        <w:t>Por ello, es necesario resaltar que dichos conceptos consiste en la obligación que tiene todo ente público de expresar los preceptos jurídicos aplicables al asunto motivo del acto y las razones o argumentos de su actuar; al respecto, el máximo tribunal del país ha establecido jurisprudencia a fin a que debe entenderse por fundamentación y motivación, en los siguientes términos:</w:t>
      </w:r>
    </w:p>
    <w:p w:rsidR="00476058" w:rsidRPr="00BF3B15" w:rsidRDefault="00476058" w:rsidP="00CF29DA">
      <w:pPr>
        <w:pStyle w:val="Textoindependiente2"/>
        <w:spacing w:after="0" w:line="240" w:lineRule="auto"/>
        <w:ind w:left="851" w:right="902"/>
        <w:jc w:val="both"/>
        <w:rPr>
          <w:rFonts w:ascii="Palatino Linotype" w:hAnsi="Palatino Linotype" w:cs="Arial"/>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 xml:space="preserve">FUNDAMENTACION Y MOTIVACION. </w:t>
      </w:r>
      <w:r w:rsidRPr="00BF3B15">
        <w:rPr>
          <w:rFonts w:ascii="Palatino Linotype" w:hAnsi="Palatino Linotype" w:cs="Arial"/>
          <w:i/>
          <w:sz w:val="22"/>
          <w:szCs w:val="22"/>
        </w:rPr>
        <w:t xml:space="preserve">La debida fundamentación y motivación legal, deben entenderse, por lo primero, </w:t>
      </w:r>
      <w:r w:rsidRPr="00BF3B15">
        <w:rPr>
          <w:rFonts w:ascii="Palatino Linotype" w:hAnsi="Palatino Linotype" w:cs="Arial"/>
          <w:b/>
          <w:i/>
          <w:sz w:val="22"/>
          <w:szCs w:val="22"/>
        </w:rPr>
        <w:t>la cita del precepto legal aplicable al caso</w:t>
      </w:r>
      <w:r w:rsidRPr="00BF3B15">
        <w:rPr>
          <w:rFonts w:ascii="Palatino Linotype" w:hAnsi="Palatino Linotype" w:cs="Arial"/>
          <w:i/>
          <w:sz w:val="22"/>
          <w:szCs w:val="22"/>
        </w:rPr>
        <w:t xml:space="preserve">, y por lo segundo, </w:t>
      </w:r>
      <w:r w:rsidRPr="00BF3B15">
        <w:rPr>
          <w:rFonts w:ascii="Palatino Linotype" w:hAnsi="Palatino Linotype" w:cs="Arial"/>
          <w:b/>
          <w:i/>
          <w:sz w:val="22"/>
          <w:szCs w:val="22"/>
        </w:rPr>
        <w:t>las razones, motivos o circunstancias especiales que llevaron a la autoridad a concluir que el caso particular encuadra en el supuesto previsto por la norma legal invocada</w:t>
      </w:r>
      <w:r w:rsidRPr="00BF3B15">
        <w:rPr>
          <w:rFonts w:ascii="Palatino Linotype" w:hAnsi="Palatino Linotype" w:cs="Arial"/>
          <w:i/>
          <w:sz w:val="22"/>
          <w:szCs w:val="22"/>
        </w:rPr>
        <w:t xml:space="preserve"> como fundamento.</w:t>
      </w:r>
    </w:p>
    <w:p w:rsidR="00476058" w:rsidRPr="00BF3B15" w:rsidRDefault="00476058" w:rsidP="00CF29DA">
      <w:pPr>
        <w:pStyle w:val="Textoindependiente2"/>
        <w:spacing w:after="0" w:line="240" w:lineRule="auto"/>
        <w:ind w:left="851" w:right="902"/>
        <w:jc w:val="both"/>
        <w:rPr>
          <w:rFonts w:ascii="Palatino Linotype" w:hAnsi="Palatino Linotype" w:cs="Arial"/>
          <w:b/>
          <w:i/>
          <w:sz w:val="22"/>
          <w:szCs w:val="22"/>
        </w:rPr>
      </w:pPr>
      <w:r w:rsidRPr="00BF3B15">
        <w:rPr>
          <w:rFonts w:ascii="Palatino Linotype" w:hAnsi="Palatino Linotype" w:cs="Arial"/>
          <w:b/>
          <w:i/>
          <w:sz w:val="22"/>
          <w:szCs w:val="22"/>
        </w:rPr>
        <w:t>…”</w:t>
      </w:r>
    </w:p>
    <w:p w:rsidR="00476058" w:rsidRPr="00BF3B15" w:rsidRDefault="00476058" w:rsidP="00CF29DA">
      <w:pPr>
        <w:pStyle w:val="Textoindependiente2"/>
        <w:spacing w:after="0" w:line="240" w:lineRule="auto"/>
        <w:ind w:left="851" w:right="902"/>
        <w:jc w:val="both"/>
        <w:rPr>
          <w:rFonts w:ascii="Palatino Linotype" w:hAnsi="Palatino Linotype" w:cs="Arial"/>
          <w:i/>
          <w:sz w:val="22"/>
          <w:szCs w:val="22"/>
        </w:rPr>
      </w:pPr>
      <w:r w:rsidRPr="00BF3B15">
        <w:rPr>
          <w:rFonts w:ascii="Palatino Linotype" w:hAnsi="Palatino Linotype" w:cs="Arial"/>
          <w:i/>
          <w:sz w:val="22"/>
          <w:szCs w:val="22"/>
        </w:rPr>
        <w:t>(Énfasis añadido)</w:t>
      </w:r>
    </w:p>
    <w:p w:rsidR="00476058" w:rsidRPr="00BF3B15" w:rsidRDefault="00476058" w:rsidP="00476058">
      <w:pPr>
        <w:spacing w:before="240" w:after="240" w:line="360" w:lineRule="auto"/>
        <w:ind w:right="51"/>
        <w:jc w:val="both"/>
        <w:rPr>
          <w:rFonts w:ascii="Palatino Linotype" w:hAnsi="Palatino Linotype" w:cs="Arial"/>
        </w:rPr>
      </w:pPr>
      <w:r w:rsidRPr="00BF3B15">
        <w:rPr>
          <w:rFonts w:ascii="Palatino Linotype" w:hAnsi="Palatino Linotype" w:cs="Arial"/>
        </w:rPr>
        <w:t>Así,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lo anterior se robustece con diversa jurisprudencia dictada por el Poder Judicial de la Federación que, sostiene que la finalidad de la fundamentación o motivación es la de explicar, justificar, posibilitar la defensa y comunicar la decisión de la autoridad:</w:t>
      </w:r>
    </w:p>
    <w:p w:rsidR="00476058" w:rsidRPr="00BF3B15" w:rsidRDefault="00476058" w:rsidP="00CF29DA">
      <w:pPr>
        <w:pStyle w:val="Textoindependiente2"/>
        <w:spacing w:after="0" w:line="240" w:lineRule="auto"/>
        <w:ind w:left="851" w:right="902"/>
        <w:jc w:val="both"/>
      </w:pPr>
      <w:r w:rsidRPr="00BF3B15">
        <w:rPr>
          <w:rFonts w:ascii="Palatino Linotype" w:hAnsi="Palatino Linotype" w:cs="Arial"/>
          <w:b/>
          <w:i/>
          <w:sz w:val="22"/>
          <w:szCs w:val="22"/>
        </w:rPr>
        <w:t>“FUNDAMENTACIÓN Y MOTIVACIÓN. EL ASPECTO FORMAL DE LA GARANTÍA Y SU FINALIDAD SE TRADUCEN EN EXPLICAR, JUSTIFICAR, POSIBILITAR LA DEFENSA Y COMUNICAR LA DECISIÓN</w:t>
      </w:r>
      <w:r w:rsidRPr="00BF3B15">
        <w:rPr>
          <w:rFonts w:ascii="Palatino Linotype" w:hAnsi="Palatino Linotype" w:cs="Arial"/>
          <w:i/>
          <w:sz w:val="22"/>
          <w:szCs w:val="22"/>
        </w:rPr>
        <w:t xml:space="preserve">. El contenido formal de la garantía de legalidad prevista en el artículo 16 constitucional relativa a la fundamentación y motivación tiene como propósito primordial y ratio que el justiciable conozca </w:t>
      </w:r>
      <w:r w:rsidRPr="00BF3B15">
        <w:rPr>
          <w:rFonts w:ascii="Palatino Linotype" w:hAnsi="Palatino Linotype" w:cs="Arial"/>
          <w:b/>
          <w:i/>
          <w:sz w:val="22"/>
          <w:szCs w:val="22"/>
        </w:rPr>
        <w:t>el "para qué" de la conducta de la autoridad,</w:t>
      </w:r>
      <w:r w:rsidRPr="00BF3B15">
        <w:rPr>
          <w:rFonts w:ascii="Palatino Linotype" w:hAnsi="Palatino Linotype" w:cs="Arial"/>
          <w:i/>
          <w:sz w:val="22"/>
          <w:szCs w:val="22"/>
        </w:rPr>
        <w:t xml:space="preserve"> lo que se traduce en darle a </w:t>
      </w:r>
      <w:r w:rsidRPr="00BF3B15">
        <w:rPr>
          <w:rFonts w:ascii="Palatino Linotype" w:hAnsi="Palatino Linotype" w:cs="Arial"/>
          <w:b/>
          <w:i/>
          <w:sz w:val="22"/>
          <w:szCs w:val="22"/>
        </w:rPr>
        <w:t>conocer en detalle y de manera completa la esencia de todas las circunstancias y condiciones que determinaron el acto de voluntad</w:t>
      </w:r>
      <w:r w:rsidRPr="00BF3B15">
        <w:rPr>
          <w:rFonts w:ascii="Palatino Linotype" w:hAnsi="Palatino Linotype" w:cs="Arial"/>
          <w:i/>
          <w:sz w:val="22"/>
          <w:szCs w:val="22"/>
        </w:rPr>
        <w:t xml:space="preserve">, de manera que sea evidente y muy claro para el afectado poder </w:t>
      </w:r>
      <w:r w:rsidRPr="00BF3B15">
        <w:rPr>
          <w:rFonts w:ascii="Palatino Linotype" w:hAnsi="Palatino Linotype" w:cs="Arial"/>
          <w:i/>
          <w:sz w:val="22"/>
          <w:szCs w:val="22"/>
        </w:rPr>
        <w:lastRenderedPageBreak/>
        <w:t xml:space="preserve">cuestionar y controvertir el mérito de la decisión, permitiéndole una real y auténtica defensa. Por tanto, </w:t>
      </w:r>
      <w:r w:rsidRPr="00BF3B15">
        <w:rPr>
          <w:rFonts w:ascii="Palatino Linotype" w:hAnsi="Palatino Linotype" w:cs="Arial"/>
          <w:b/>
          <w:i/>
          <w:sz w:val="22"/>
          <w:szCs w:val="22"/>
        </w:rPr>
        <w:t>no basta que el acto de autoridad apenas observe una motivación pro forma pero de una manera incongruente, insuficiente o imprecisa, que impida la finalidad del conocimiento, comprobación y defensa pertinente</w:t>
      </w:r>
      <w:r w:rsidRPr="00BF3B15">
        <w:rPr>
          <w:rFonts w:ascii="Palatino Linotype" w:hAnsi="Palatino Linotype" w:cs="Arial"/>
          <w:i/>
          <w:sz w:val="22"/>
          <w:szCs w:val="22"/>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476058" w:rsidRPr="00BF3B15" w:rsidRDefault="00476058" w:rsidP="00CF29DA">
      <w:pPr>
        <w:pStyle w:val="Textoindependiente2"/>
        <w:spacing w:after="0" w:line="240" w:lineRule="auto"/>
        <w:ind w:left="851" w:right="902"/>
        <w:jc w:val="both"/>
        <w:rPr>
          <w:rFonts w:ascii="Palatino Linotype" w:hAnsi="Palatino Linotype" w:cs="Arial"/>
          <w:i/>
          <w:sz w:val="22"/>
          <w:szCs w:val="22"/>
        </w:rPr>
      </w:pPr>
      <w:r w:rsidRPr="00BF3B15">
        <w:rPr>
          <w:rFonts w:ascii="Palatino Linotype" w:hAnsi="Palatino Linotype" w:cs="Arial"/>
          <w:i/>
          <w:sz w:val="22"/>
          <w:szCs w:val="22"/>
        </w:rPr>
        <w:t>(Énfasis añadido)</w:t>
      </w:r>
    </w:p>
    <w:p w:rsidR="00476058" w:rsidRPr="00BF3B15" w:rsidRDefault="00476058" w:rsidP="00476058">
      <w:pPr>
        <w:spacing w:before="240" w:after="240" w:line="360" w:lineRule="auto"/>
        <w:ind w:right="49"/>
        <w:jc w:val="both"/>
        <w:rPr>
          <w:rFonts w:ascii="Palatino Linotype" w:hAnsi="Palatino Linotype" w:cs="Arial"/>
        </w:rPr>
      </w:pPr>
      <w:r w:rsidRPr="00BF3B15">
        <w:rPr>
          <w:rFonts w:ascii="Palatino Linotype" w:hAnsi="Palatino Linotype" w:cs="Arial"/>
        </w:rPr>
        <w:t>En consecuencia, la fundamentación y motivación implica que en el acto de autoridad, además de contener los supuestos jurídicos aplicables explique claramente, por qué, a través de la utilización de la norma se emitió el acto. De este modo, la persona que se siente afectada puede impugnar la decisión, permitiéndole una real y auténtica defensa.</w:t>
      </w:r>
    </w:p>
    <w:p w:rsidR="00146670" w:rsidRPr="00BF3B15" w:rsidRDefault="00476058" w:rsidP="00146670">
      <w:pPr>
        <w:spacing w:before="240" w:after="240" w:line="360" w:lineRule="auto"/>
        <w:ind w:right="49"/>
        <w:jc w:val="both"/>
        <w:rPr>
          <w:rFonts w:ascii="Palatino Linotype" w:hAnsi="Palatino Linotype" w:cs="Arial"/>
        </w:rPr>
      </w:pPr>
      <w:r w:rsidRPr="00BF3B15">
        <w:rPr>
          <w:rFonts w:ascii="Palatino Linotype" w:hAnsi="Palatino Linotype" w:cs="Arial"/>
          <w:color w:val="000000" w:themeColor="text1"/>
        </w:rPr>
        <w:t xml:space="preserve">Expuesto lo anterior, </w:t>
      </w:r>
      <w:r w:rsidR="00EA713C" w:rsidRPr="00BF3B15">
        <w:rPr>
          <w:rFonts w:ascii="Palatino Linotype" w:hAnsi="Palatino Linotype" w:cs="Arial"/>
          <w:color w:val="000000" w:themeColor="text1"/>
        </w:rPr>
        <w:t>pese a que</w:t>
      </w:r>
      <w:r w:rsidR="00146670" w:rsidRPr="00BF3B15">
        <w:rPr>
          <w:rFonts w:ascii="Palatino Linotype" w:hAnsi="Palatino Linotype" w:cs="Arial"/>
          <w:color w:val="000000" w:themeColor="text1"/>
        </w:rPr>
        <w:t xml:space="preserve"> </w:t>
      </w:r>
      <w:r w:rsidR="00146670" w:rsidRPr="00BF3B15">
        <w:rPr>
          <w:rFonts w:ascii="Palatino Linotype" w:hAnsi="Palatino Linotype" w:cs="Arial"/>
          <w:b/>
          <w:color w:val="000000" w:themeColor="text1"/>
        </w:rPr>
        <w:t xml:space="preserve">EL SUJETO OBLIGADO </w:t>
      </w:r>
      <w:r w:rsidR="00146670" w:rsidRPr="00BF3B15">
        <w:rPr>
          <w:rFonts w:ascii="Palatino Linotype" w:hAnsi="Palatino Linotype" w:cs="Arial"/>
          <w:color w:val="000000" w:themeColor="text1"/>
        </w:rPr>
        <w:t>refiere que la información solicitada, es información reservada, éste Órgano Garante procede al estudio del Acuerdo de Clasificación</w:t>
      </w:r>
      <w:r w:rsidR="003E3448" w:rsidRPr="00BF3B15">
        <w:rPr>
          <w:rFonts w:ascii="Palatino Linotype" w:hAnsi="Palatino Linotype" w:cs="Arial"/>
          <w:color w:val="000000" w:themeColor="text1"/>
        </w:rPr>
        <w:t>,</w:t>
      </w:r>
      <w:r w:rsidR="00146670" w:rsidRPr="00BF3B15">
        <w:rPr>
          <w:rFonts w:ascii="Palatino Linotype" w:hAnsi="Palatino Linotype" w:cs="Arial"/>
          <w:color w:val="000000" w:themeColor="text1"/>
        </w:rPr>
        <w:t xml:space="preserve"> con la finalidad de determinar si procede o no </w:t>
      </w:r>
      <w:r w:rsidR="00146670" w:rsidRPr="00BF3B15">
        <w:rPr>
          <w:rFonts w:ascii="Palatino Linotype" w:hAnsi="Palatino Linotype" w:cs="Arial"/>
        </w:rPr>
        <w:t>la causal de reserva de la información; por ello, conviene recordar que la Constitución Política del Estado Libre y Soberano de México, en su numeral 5, párrafo vigésimo segundo, fracción I dispone:</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b/>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Artículo 5.-...</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Este derecho se regirá por los siguientes principios y bases siguientes: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 xml:space="preserve">I. </w:t>
      </w:r>
      <w:r w:rsidRPr="00BF3B15">
        <w:rPr>
          <w:rFonts w:ascii="Palatino Linotype" w:hAnsi="Palatino Linotype"/>
          <w:b/>
          <w:i/>
          <w:sz w:val="22"/>
          <w:szCs w:val="22"/>
        </w:rPr>
        <w:t>Toda la información en posesión de cualquier autoridad, entidad, órgano y organismos de los Poderes Ejecutivo, Legislativo y Judicial, órganos autónomos</w:t>
      </w:r>
      <w:r w:rsidRPr="00BF3B15">
        <w:rPr>
          <w:rFonts w:ascii="Palatino Linotype" w:hAnsi="Palatino Linotype"/>
          <w:i/>
          <w:sz w:val="22"/>
          <w:szCs w:val="22"/>
        </w:rPr>
        <w:t xml:space="preserve">, partidos políticos, fideicomisos y fondos públicos estatales y municipales, así como del gobierno y de la administración pública municipal y sus </w:t>
      </w:r>
      <w:r w:rsidRPr="00BF3B15">
        <w:rPr>
          <w:rFonts w:ascii="Palatino Linotype" w:hAnsi="Palatino Linotype"/>
          <w:i/>
          <w:sz w:val="22"/>
          <w:szCs w:val="22"/>
        </w:rPr>
        <w:lastRenderedPageBreak/>
        <w:t>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BF3B15">
        <w:rPr>
          <w:rFonts w:ascii="Palatino Linotype" w:hAnsi="Palatino Linotype" w:cs="Arial"/>
          <w:i/>
          <w:sz w:val="22"/>
          <w:szCs w:val="22"/>
        </w:rPr>
        <w:t>;</w:t>
      </w:r>
    </w:p>
    <w:p w:rsidR="00146670" w:rsidRPr="00BF3B15" w:rsidRDefault="00146670" w:rsidP="00146670">
      <w:pPr>
        <w:pStyle w:val="Prrafodelista"/>
        <w:spacing w:before="120" w:after="120" w:line="276" w:lineRule="auto"/>
        <w:ind w:left="851" w:right="900"/>
        <w:jc w:val="both"/>
        <w:rPr>
          <w:rFonts w:ascii="Palatino Linotype" w:hAnsi="Palatino Linotype" w:cs="Arial"/>
          <w:i/>
          <w:sz w:val="22"/>
          <w:szCs w:val="22"/>
        </w:rPr>
      </w:pPr>
      <w:r w:rsidRPr="00BF3B15">
        <w:rPr>
          <w:rFonts w:ascii="Palatino Linotype" w:hAnsi="Palatino Linotype" w:cs="Arial"/>
          <w:i/>
          <w:sz w:val="22"/>
          <w:szCs w:val="22"/>
        </w:rPr>
        <w:t>...” (Énfasis añadido)</w:t>
      </w:r>
    </w:p>
    <w:p w:rsidR="00146670" w:rsidRPr="00BF3B15" w:rsidRDefault="00146670" w:rsidP="00146670">
      <w:pPr>
        <w:spacing w:after="120" w:line="360" w:lineRule="auto"/>
        <w:ind w:right="51"/>
        <w:jc w:val="both"/>
        <w:rPr>
          <w:rFonts w:ascii="Palatino Linotype" w:hAnsi="Palatino Linotype" w:cs="Arial"/>
        </w:rPr>
      </w:pPr>
      <w:r w:rsidRPr="00BF3B15">
        <w:rPr>
          <w:rFonts w:ascii="Palatino Linotype" w:hAnsi="Palatino Linotype" w:cs="Arial"/>
        </w:rPr>
        <w:t xml:space="preserve">De </w:t>
      </w:r>
      <w:r w:rsidR="009521AD" w:rsidRPr="00BF3B15">
        <w:rPr>
          <w:rFonts w:ascii="Palatino Linotype" w:hAnsi="Palatino Linotype" w:cs="Arial"/>
        </w:rPr>
        <w:t xml:space="preserve">ahí que, </w:t>
      </w:r>
      <w:r w:rsidRPr="00BF3B15">
        <w:rPr>
          <w:rFonts w:ascii="Palatino Linotype" w:hAnsi="Palatino Linotype" w:cs="Arial"/>
        </w:rPr>
        <w:t xml:space="preserve">se deduce </w:t>
      </w:r>
      <w:r w:rsidR="009521AD" w:rsidRPr="00BF3B15">
        <w:rPr>
          <w:rFonts w:ascii="Palatino Linotype" w:hAnsi="Palatino Linotype" w:cs="Arial"/>
        </w:rPr>
        <w:t xml:space="preserve">entonces </w:t>
      </w:r>
      <w:r w:rsidRPr="00BF3B15">
        <w:rPr>
          <w:rFonts w:ascii="Palatino Linotype" w:hAnsi="Palatino Linotype" w:cs="Arial"/>
        </w:rPr>
        <w:t xml:space="preserve">que la Constitución local le otorga a todos los documentos en posesión de las autoridades la calidad de públicos y únicamente pueden ser reservados temporalmente por razones de interés público y en los términos expresamente señalados en la Ley, es decir, el derecho de acceso a la información pública no es absoluto pero su restricción debe estar sujeta a un sistema rígido de excepciones, en el que </w:t>
      </w:r>
      <w:r w:rsidRPr="00BF3B15">
        <w:rPr>
          <w:rFonts w:ascii="Palatino Linotype" w:hAnsi="Palatino Linotype" w:cs="Arial"/>
          <w:b/>
        </w:rPr>
        <w:t>los Sujetos Obligados deben fundamentar y argumentar las causas de interés público que se ponen en riesgo</w:t>
      </w:r>
      <w:r w:rsidRPr="00BF3B15">
        <w:rPr>
          <w:rFonts w:ascii="Palatino Linotype" w:hAnsi="Palatino Linotype" w:cs="Arial"/>
        </w:rPr>
        <w:t xml:space="preserve"> al liberarse la información.</w:t>
      </w:r>
    </w:p>
    <w:p w:rsidR="00146670" w:rsidRPr="00BF3B15" w:rsidRDefault="00146670" w:rsidP="00146670">
      <w:pPr>
        <w:spacing w:before="100" w:beforeAutospacing="1" w:after="100" w:afterAutospacing="1" w:line="360" w:lineRule="auto"/>
        <w:ind w:right="51"/>
        <w:jc w:val="both"/>
        <w:rPr>
          <w:rFonts w:ascii="Palatino Linotype" w:hAnsi="Palatino Linotype" w:cs="Arial"/>
        </w:rPr>
      </w:pPr>
      <w:r w:rsidRPr="00BF3B15">
        <w:rPr>
          <w:rFonts w:ascii="Palatino Linotype" w:hAnsi="Palatino Linotype" w:cs="Arial"/>
        </w:rPr>
        <w:t>Así, en armonía con la Constitución Local, la Ley de Transparencia y Acceso a la Información Pública de</w:t>
      </w:r>
      <w:r w:rsidR="003E3448" w:rsidRPr="00BF3B15">
        <w:rPr>
          <w:rFonts w:ascii="Palatino Linotype" w:hAnsi="Palatino Linotype" w:cs="Arial"/>
        </w:rPr>
        <w:t>l Estado de México y Municipios</w:t>
      </w:r>
      <w:r w:rsidRPr="00BF3B15">
        <w:rPr>
          <w:rFonts w:ascii="Palatino Linotype" w:hAnsi="Palatino Linotype" w:cs="Arial"/>
        </w:rPr>
        <w:t xml:space="preserve"> establece las únicas dos limitantes que se pueden actualizar para restringir el acceso a los documentos en posesión de los entes públicos, así como, </w:t>
      </w:r>
      <w:r w:rsidRPr="00BF3B15">
        <w:rPr>
          <w:rFonts w:ascii="Palatino Linotype" w:hAnsi="Palatino Linotype" w:cs="Arial"/>
          <w:b/>
        </w:rPr>
        <w:t>un catálogo limitado de premisas para que la información sea reservada por causas de interés público</w:t>
      </w:r>
      <w:r w:rsidR="00DF0F8C" w:rsidRPr="00BF3B15">
        <w:rPr>
          <w:rFonts w:ascii="Palatino Linotype" w:hAnsi="Palatino Linotype" w:cs="Arial"/>
        </w:rPr>
        <w:t>;</w:t>
      </w:r>
      <w:r w:rsidRPr="00BF3B15">
        <w:rPr>
          <w:rFonts w:ascii="Palatino Linotype" w:hAnsi="Palatino Linotype" w:cs="Arial"/>
        </w:rPr>
        <w:t xml:space="preserve"> tal y como</w:t>
      </w:r>
      <w:r w:rsidR="00DF0F8C" w:rsidRPr="00BF3B15">
        <w:rPr>
          <w:rFonts w:ascii="Palatino Linotype" w:hAnsi="Palatino Linotype" w:cs="Arial"/>
        </w:rPr>
        <w:t>,</w:t>
      </w:r>
      <w:r w:rsidRPr="00BF3B15">
        <w:rPr>
          <w:rFonts w:ascii="Palatino Linotype" w:hAnsi="Palatino Linotype" w:cs="Arial"/>
        </w:rPr>
        <w:t xml:space="preserve"> lo precisan los siguientes dispositivos jurídicos: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b/>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Artículo 4</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El derecho humano de acceso a la información pública es la prerrogativa de las personas para buscar, difundir, investigar, recabar, recibir y solicitar información pública, sin necesidad de acreditar personalidad ni interés jurídico.</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 xml:space="preserve">Toda la información generada, obtenida, adquirida, transformada, administrada o en posesión de los sujetos obligados es pública y accesible </w:t>
      </w:r>
      <w:r w:rsidRPr="00BF3B15">
        <w:rPr>
          <w:rFonts w:ascii="Palatino Linotype" w:hAnsi="Palatino Linotype" w:cs="Arial"/>
          <w:b/>
          <w:i/>
          <w:sz w:val="22"/>
          <w:szCs w:val="22"/>
        </w:rPr>
        <w:lastRenderedPageBreak/>
        <w:t>de manera permanente a cualquier persona</w:t>
      </w:r>
      <w:r w:rsidRPr="00BF3B15">
        <w:rPr>
          <w:rFonts w:ascii="Palatino Linotype" w:hAnsi="Palatino Linotype" w:cs="Arial"/>
          <w:i/>
          <w:sz w:val="22"/>
          <w:szCs w:val="22"/>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Solo podrá ser clasificada excepcionalmente como reservada temporalmente por razones de interés público</w:t>
      </w:r>
      <w:r w:rsidRPr="00BF3B15">
        <w:rPr>
          <w:rFonts w:ascii="Palatino Linotype" w:hAnsi="Palatino Linotype" w:cs="Arial"/>
          <w:i/>
          <w:sz w:val="22"/>
          <w:szCs w:val="22"/>
        </w:rPr>
        <w:t>, en los términos de las causas legítimas y estrictamente necesarias previstas por esta Ley.</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w:t>
      </w: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Artículo 122</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 xml:space="preserve">La clasificación es el proceso mediante el cual el sujeto obligado determina que la información en su poder </w:t>
      </w:r>
      <w:proofErr w:type="spellStart"/>
      <w:r w:rsidRPr="00BF3B15">
        <w:rPr>
          <w:rFonts w:ascii="Palatino Linotype" w:hAnsi="Palatino Linotype" w:cs="Arial"/>
          <w:b/>
          <w:i/>
          <w:sz w:val="22"/>
          <w:szCs w:val="22"/>
        </w:rPr>
        <w:t>actualiza</w:t>
      </w:r>
      <w:proofErr w:type="spellEnd"/>
      <w:r w:rsidRPr="00BF3B15">
        <w:rPr>
          <w:rFonts w:ascii="Palatino Linotype" w:hAnsi="Palatino Linotype" w:cs="Arial"/>
          <w:b/>
          <w:i/>
          <w:sz w:val="22"/>
          <w:szCs w:val="22"/>
        </w:rPr>
        <w:t xml:space="preserve"> alguno de los supuestos de reserva</w:t>
      </w:r>
      <w:r w:rsidRPr="00BF3B15">
        <w:rPr>
          <w:rFonts w:ascii="Palatino Linotype" w:hAnsi="Palatino Linotype" w:cs="Arial"/>
          <w:i/>
          <w:sz w:val="22"/>
          <w:szCs w:val="22"/>
        </w:rPr>
        <w:t xml:space="preserve"> o confidencialidad, de conformidad con lo dispuesto en el presente título.</w:t>
      </w: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b/>
          <w:i/>
          <w:sz w:val="22"/>
          <w:szCs w:val="22"/>
        </w:rPr>
      </w:pPr>
      <w:r w:rsidRPr="00BF3B15">
        <w:rPr>
          <w:rFonts w:ascii="Palatino Linotype" w:hAnsi="Palatino Linotype" w:cs="Arial"/>
          <w:b/>
          <w:i/>
          <w:sz w:val="22"/>
          <w:szCs w:val="22"/>
        </w:rPr>
        <w:t>Los supuestos de reserva o confidencialidad previstos en las leyes deberán ser acordes con las bases, principios y disposiciones establecidos en la Ley General y, en ningún caso, podrán contravenirla.</w:t>
      </w: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b/>
          <w:i/>
          <w:sz w:val="22"/>
          <w:szCs w:val="22"/>
        </w:rPr>
      </w:pP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Los titulares de las áreas de los sujetos obligados serán los responsables de clasificar la información, de conformidad con lo dispuesto en la presente Ley y demás disposiciones jurídicas aplicables.</w:t>
      </w:r>
    </w:p>
    <w:p w:rsidR="00146670" w:rsidRPr="00BF3B15" w:rsidRDefault="00146670" w:rsidP="00146670">
      <w:pPr>
        <w:pStyle w:val="Textoindependiente2"/>
        <w:tabs>
          <w:tab w:val="left" w:pos="7797"/>
        </w:tabs>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b/>
          <w:i/>
          <w:sz w:val="22"/>
          <w:szCs w:val="22"/>
        </w:rPr>
      </w:pPr>
      <w:r w:rsidRPr="00BF3B15">
        <w:rPr>
          <w:rFonts w:ascii="Palatino Linotype" w:hAnsi="Palatino Linotype" w:cs="Arial"/>
          <w:b/>
          <w:i/>
          <w:sz w:val="22"/>
          <w:szCs w:val="22"/>
        </w:rPr>
        <w:t>Artículo 140. El acceso a la información pública será restringido excepcionalmente, cuando por razones de interés público, ésta sea clasificada como reservada, conforme a los criterios siguientes: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b/>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w:t>
      </w:r>
      <w:r w:rsidRPr="00BF3B15">
        <w:rPr>
          <w:rFonts w:ascii="Palatino Linotype" w:hAnsi="Palatino Linotype" w:cs="Arial"/>
          <w:i/>
          <w:sz w:val="22"/>
          <w:szCs w:val="22"/>
        </w:rPr>
        <w:t xml:space="preserve"> Comprometa la seguridad pública y cuente con un propósito genuino y un efecto demostrable;</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II.</w:t>
      </w:r>
      <w:r w:rsidRPr="00BF3B15">
        <w:rPr>
          <w:rFonts w:ascii="Palatino Linotype" w:hAnsi="Palatino Linotype" w:cs="Arial"/>
          <w:i/>
          <w:sz w:val="22"/>
          <w:szCs w:val="22"/>
        </w:rPr>
        <w:t xml:space="preserve"> Pueda menoscabar la conducción de las negociaciones y relaciones internacionales;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III.</w:t>
      </w:r>
      <w:r w:rsidRPr="00BF3B15">
        <w:rPr>
          <w:rFonts w:ascii="Palatino Linotype" w:hAnsi="Palatino Linotype" w:cs="Arial"/>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IV.</w:t>
      </w:r>
      <w:r w:rsidRPr="00BF3B15">
        <w:rPr>
          <w:rFonts w:ascii="Palatino Linotype" w:hAnsi="Palatino Linotype" w:cs="Arial"/>
          <w:i/>
          <w:sz w:val="22"/>
          <w:szCs w:val="22"/>
        </w:rPr>
        <w:t xml:space="preserve"> Ponga en riesgo la vida, la seguridad o la salud de una persona física;</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V.</w:t>
      </w:r>
      <w:r w:rsidRPr="00BF3B15">
        <w:rPr>
          <w:rFonts w:ascii="Palatino Linotype" w:hAnsi="Palatino Linotype" w:cs="Arial"/>
          <w:i/>
          <w:sz w:val="22"/>
          <w:szCs w:val="22"/>
        </w:rPr>
        <w:t xml:space="preserve"> Aquella cuya divulgación obstruya o pueda causar un serio perjuicio a:</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1134" w:right="900"/>
        <w:contextualSpacing/>
        <w:jc w:val="both"/>
        <w:rPr>
          <w:rFonts w:ascii="Palatino Linotype" w:hAnsi="Palatino Linotype" w:cs="Arial"/>
          <w:i/>
          <w:sz w:val="22"/>
          <w:szCs w:val="22"/>
        </w:rPr>
      </w:pPr>
      <w:r w:rsidRPr="00BF3B15">
        <w:rPr>
          <w:rFonts w:ascii="Palatino Linotype" w:hAnsi="Palatino Linotype" w:cs="Arial"/>
          <w:b/>
          <w:i/>
          <w:sz w:val="22"/>
          <w:szCs w:val="22"/>
        </w:rPr>
        <w:lastRenderedPageBreak/>
        <w:t>1.</w:t>
      </w:r>
      <w:r w:rsidRPr="00BF3B15">
        <w:rPr>
          <w:rFonts w:ascii="Palatino Linotype" w:hAnsi="Palatino Linotype" w:cs="Arial"/>
          <w:i/>
          <w:sz w:val="22"/>
          <w:szCs w:val="22"/>
        </w:rPr>
        <w:t xml:space="preserve"> Las actividades de fiscalización, verificación, inspección, comprobación y auditoría sobre el cumplimiento de las Leyes; o</w:t>
      </w:r>
    </w:p>
    <w:p w:rsidR="00146670" w:rsidRPr="00BF3B15" w:rsidRDefault="00146670" w:rsidP="00146670">
      <w:pPr>
        <w:pStyle w:val="Textoindependiente2"/>
        <w:spacing w:before="120" w:line="240" w:lineRule="auto"/>
        <w:ind w:left="1134" w:right="900"/>
        <w:contextualSpacing/>
        <w:jc w:val="both"/>
        <w:rPr>
          <w:rFonts w:ascii="Palatino Linotype" w:hAnsi="Palatino Linotype" w:cs="Arial"/>
          <w:i/>
          <w:sz w:val="22"/>
          <w:szCs w:val="22"/>
        </w:rPr>
      </w:pPr>
      <w:r w:rsidRPr="00BF3B15">
        <w:rPr>
          <w:rFonts w:ascii="Palatino Linotype" w:hAnsi="Palatino Linotype" w:cs="Arial"/>
          <w:b/>
          <w:i/>
          <w:sz w:val="22"/>
          <w:szCs w:val="22"/>
        </w:rPr>
        <w:t>2.</w:t>
      </w:r>
      <w:r w:rsidRPr="00BF3B15">
        <w:rPr>
          <w:rFonts w:ascii="Palatino Linotype" w:hAnsi="Palatino Linotype" w:cs="Arial"/>
          <w:i/>
          <w:sz w:val="22"/>
          <w:szCs w:val="22"/>
        </w:rPr>
        <w:t xml:space="preserve"> La recaudación de las contribuciones.</w:t>
      </w:r>
    </w:p>
    <w:p w:rsidR="00146670" w:rsidRPr="00BF3B15" w:rsidRDefault="00146670" w:rsidP="00146670">
      <w:pPr>
        <w:pStyle w:val="Textoindependiente2"/>
        <w:spacing w:before="120" w:line="240" w:lineRule="auto"/>
        <w:ind w:left="1134"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VI.</w:t>
      </w:r>
      <w:r w:rsidRPr="00BF3B15">
        <w:rPr>
          <w:rFonts w:ascii="Palatino Linotype" w:hAnsi="Palatino Linotype" w:cs="Arial"/>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VII.</w:t>
      </w:r>
      <w:r w:rsidRPr="00BF3B15">
        <w:rPr>
          <w:rFonts w:ascii="Palatino Linotype" w:hAnsi="Palatino Linotype" w:cs="Arial"/>
          <w:i/>
          <w:sz w:val="22"/>
          <w:szCs w:val="22"/>
        </w:rPr>
        <w:t xml:space="preserve"> La que contengan las opiniones, recomendaciones o puntos de vista que formen parte del proceso deliberativo de los servidores públicos, hasta en tanto sea adoptada la decisión definitiva, la cual deberá estar documentada;</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VIII.</w:t>
      </w:r>
      <w:r w:rsidRPr="00BF3B15">
        <w:rPr>
          <w:rFonts w:ascii="Palatino Linotype" w:hAnsi="Palatino Linotype" w:cs="Arial"/>
          <w:i/>
          <w:sz w:val="22"/>
          <w:szCs w:val="22"/>
        </w:rPr>
        <w:t xml:space="preserve"> Vulnere la conducción de los expedientes judiciales o de los procedimientos administrativos seguidos en forma de juicio, en tanto no hayan quedado firmes;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IX.</w:t>
      </w:r>
      <w:r w:rsidRPr="00BF3B15">
        <w:rPr>
          <w:rFonts w:ascii="Palatino Linotype" w:hAnsi="Palatino Linotype" w:cs="Arial"/>
          <w:i/>
          <w:sz w:val="22"/>
          <w:szCs w:val="22"/>
        </w:rPr>
        <w:t xml:space="preserve"> Se encuentre contenida dentro de las investigaciones de hechos que la Ley señale como delitos y se tramiten ante el Ministerio Público;</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X.</w:t>
      </w:r>
      <w:r w:rsidRPr="00BF3B15">
        <w:rPr>
          <w:rFonts w:ascii="Palatino Linotype" w:hAnsi="Palatino Linotype" w:cs="Arial"/>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XI</w:t>
      </w:r>
      <w:r w:rsidRPr="00BF3B15">
        <w:rPr>
          <w:rFonts w:ascii="Palatino Linotype" w:hAnsi="Palatino Linotype" w:cs="Arial"/>
          <w:i/>
          <w:sz w:val="22"/>
          <w:szCs w:val="22"/>
        </w:rPr>
        <w:t>. Las que por disposición expresa de una ley tengan tal carácter, siempre que sean acordes con las bases, principios y disposiciones establecidos en esta Ley y no la contravengan; así como las previstas en tratados internacionales.</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Artículo 141</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Las causales de reserva previstas en este Capítulo se deberán fundar y motivar, a través de la aplicación de la prueba de daño a la que se hace referencia en el presente Título.</w:t>
      </w:r>
      <w:r w:rsidRPr="00BF3B15">
        <w:rPr>
          <w:rFonts w:ascii="Palatino Linotype" w:hAnsi="Palatino Linotype" w:cs="Arial"/>
          <w:i/>
          <w:sz w:val="22"/>
          <w:szCs w:val="22"/>
        </w:rPr>
        <w:t>”</w:t>
      </w:r>
    </w:p>
    <w:p w:rsidR="00146670" w:rsidRPr="00BF3B15" w:rsidRDefault="00146670" w:rsidP="00146670">
      <w:pPr>
        <w:pStyle w:val="Textoindependiente2"/>
        <w:spacing w:before="120" w:line="240" w:lineRule="auto"/>
        <w:ind w:left="851" w:right="900"/>
        <w:contextualSpacing/>
        <w:jc w:val="both"/>
        <w:rPr>
          <w:rFonts w:ascii="Palatino Linotype" w:hAnsi="Palatino Linotype" w:cs="Arial"/>
          <w:b/>
          <w:i/>
          <w:sz w:val="20"/>
        </w:rPr>
      </w:pPr>
      <w:r w:rsidRPr="00BF3B15">
        <w:rPr>
          <w:rFonts w:ascii="Palatino Linotype" w:hAnsi="Palatino Linotype" w:cs="Arial"/>
          <w:i/>
          <w:sz w:val="22"/>
          <w:szCs w:val="22"/>
        </w:rPr>
        <w:t>(Énfasis añadido)</w:t>
      </w:r>
    </w:p>
    <w:p w:rsidR="00146670" w:rsidRPr="00BF3B15" w:rsidRDefault="00146670" w:rsidP="00146670">
      <w:pPr>
        <w:spacing w:before="240" w:after="240" w:line="360" w:lineRule="auto"/>
        <w:ind w:right="49"/>
        <w:jc w:val="both"/>
        <w:rPr>
          <w:rFonts w:ascii="Palatino Linotype" w:hAnsi="Palatino Linotype" w:cs="Arial"/>
        </w:rPr>
      </w:pPr>
      <w:r w:rsidRPr="00BF3B15">
        <w:rPr>
          <w:rFonts w:ascii="Palatino Linotype" w:hAnsi="Palatino Linotype" w:cs="Arial"/>
          <w:lang w:eastAsia="es-MX"/>
        </w:rPr>
        <w:lastRenderedPageBreak/>
        <w:t xml:space="preserve">Por otro lado, es necesario hacer hincapié que no basta con que </w:t>
      </w:r>
      <w:r w:rsidRPr="00BF3B15">
        <w:rPr>
          <w:rFonts w:ascii="Palatino Linotype" w:hAnsi="Palatino Linotype" w:cs="Arial"/>
          <w:b/>
          <w:lang w:eastAsia="es-MX"/>
        </w:rPr>
        <w:t xml:space="preserve">EL SUJETO OBLIGADO </w:t>
      </w:r>
      <w:r w:rsidRPr="00BF3B15">
        <w:rPr>
          <w:rFonts w:ascii="Palatino Linotype" w:hAnsi="Palatino Linotype" w:cs="Arial"/>
          <w:lang w:eastAsia="es-MX"/>
        </w:rPr>
        <w:t>refiera o invoque que la info</w:t>
      </w:r>
      <w:r w:rsidR="00811179" w:rsidRPr="00BF3B15">
        <w:rPr>
          <w:rFonts w:ascii="Palatino Linotype" w:hAnsi="Palatino Linotype" w:cs="Arial"/>
          <w:lang w:eastAsia="es-MX"/>
        </w:rPr>
        <w:t xml:space="preserve">rmación se encuentra reservada </w:t>
      </w:r>
      <w:r w:rsidRPr="00BF3B15">
        <w:rPr>
          <w:rFonts w:ascii="Palatino Linotype" w:hAnsi="Palatino Linotype" w:cs="Arial"/>
          <w:lang w:eastAsia="es-MX"/>
        </w:rPr>
        <w:t>sino que</w:t>
      </w:r>
      <w:r w:rsidR="00811179" w:rsidRPr="00BF3B15">
        <w:rPr>
          <w:rFonts w:ascii="Palatino Linotype" w:hAnsi="Palatino Linotype" w:cs="Arial"/>
          <w:lang w:eastAsia="es-MX"/>
        </w:rPr>
        <w:t>,</w:t>
      </w:r>
      <w:r w:rsidRPr="00BF3B15">
        <w:rPr>
          <w:rFonts w:ascii="Palatino Linotype" w:hAnsi="Palatino Linotype" w:cs="Arial"/>
          <w:lang w:eastAsia="es-MX"/>
        </w:rPr>
        <w:t xml:space="preserve"> en su caso</w:t>
      </w:r>
      <w:r w:rsidR="00811179" w:rsidRPr="00BF3B15">
        <w:rPr>
          <w:rFonts w:ascii="Palatino Linotype" w:hAnsi="Palatino Linotype" w:cs="Arial"/>
          <w:lang w:eastAsia="es-MX"/>
        </w:rPr>
        <w:t>,</w:t>
      </w:r>
      <w:r w:rsidRPr="00BF3B15">
        <w:rPr>
          <w:rFonts w:ascii="Palatino Linotype" w:hAnsi="Palatino Linotype" w:cs="Arial"/>
          <w:lang w:eastAsia="es-MX"/>
        </w:rPr>
        <w:t xml:space="preserve"> se </w:t>
      </w:r>
      <w:r w:rsidRPr="00BF3B15">
        <w:rPr>
          <w:rFonts w:ascii="Palatino Linotype" w:hAnsi="Palatino Linotype" w:cs="Arial"/>
        </w:rPr>
        <w:t xml:space="preserve">debe seguir un procedimiento legal para su declaración, es decir, es necesario que el Comité de Transparencia justifique claramente que cumple con las formalidades previstas en los artículos 128, 129, 130 y 131 de la Ley </w:t>
      </w:r>
      <w:r w:rsidR="008D11F1" w:rsidRPr="00BF3B15">
        <w:rPr>
          <w:rFonts w:ascii="Palatino Linotype" w:hAnsi="Palatino Linotype" w:cs="Arial"/>
        </w:rPr>
        <w:t>en cita</w:t>
      </w:r>
      <w:r w:rsidRPr="00BF3B15">
        <w:rPr>
          <w:rFonts w:ascii="Palatino Linotype" w:hAnsi="Palatino Linotype" w:cs="Arial"/>
        </w:rPr>
        <w:t>, como a continuación se plasman:</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b/>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Artículo 128</w:t>
      </w:r>
      <w:r w:rsidRPr="00BF3B15">
        <w:rPr>
          <w:rFonts w:ascii="Palatino Linotype" w:hAnsi="Palatino Linotype" w:cs="Arial"/>
          <w:i/>
          <w:sz w:val="22"/>
          <w:szCs w:val="22"/>
        </w:rPr>
        <w:t xml:space="preserve">. En los casos en que se niegue el acceso a la información, por actualizarse alguno de los supuestos de clasificación, el Comité de Transparencia deberá </w:t>
      </w:r>
      <w:r w:rsidRPr="00BF3B15">
        <w:rPr>
          <w:rFonts w:ascii="Palatino Linotype" w:hAnsi="Palatino Linotype" w:cs="Arial"/>
          <w:b/>
          <w:i/>
          <w:sz w:val="22"/>
          <w:szCs w:val="22"/>
        </w:rPr>
        <w:t>confirmar,</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modificar o revocar la decisión.</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b/>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w:t>
      </w:r>
      <w:r w:rsidRPr="00BF3B15">
        <w:rPr>
          <w:rFonts w:ascii="Palatino Linotype" w:hAnsi="Palatino Linotype" w:cs="Arial"/>
          <w:i/>
          <w:sz w:val="22"/>
          <w:szCs w:val="22"/>
        </w:rPr>
        <w:t>Además, el sujeto obligado deberá, en todo momento, aplicar una prueba de daño.</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Tratándose de aquélla información que actualice los supuestos de clasificación, deberá señalarse el plazo al que estará sujeto la reserva.</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Artículo 129</w:t>
      </w:r>
      <w:r w:rsidRPr="00BF3B15">
        <w:rPr>
          <w:rFonts w:ascii="Palatino Linotype" w:hAnsi="Palatino Linotype" w:cs="Arial"/>
          <w:i/>
          <w:sz w:val="22"/>
          <w:szCs w:val="22"/>
        </w:rPr>
        <w:t xml:space="preserve">. En la aplicación de la </w:t>
      </w:r>
      <w:r w:rsidRPr="00BF3B15">
        <w:rPr>
          <w:rFonts w:ascii="Palatino Linotype" w:hAnsi="Palatino Linotype" w:cs="Arial"/>
          <w:b/>
          <w:i/>
          <w:sz w:val="22"/>
          <w:szCs w:val="22"/>
        </w:rPr>
        <w:t>prueba de daño, el</w:t>
      </w:r>
      <w:r w:rsidRPr="00BF3B15">
        <w:rPr>
          <w:rFonts w:ascii="Palatino Linotype" w:hAnsi="Palatino Linotype" w:cs="Arial"/>
          <w:i/>
          <w:sz w:val="22"/>
          <w:szCs w:val="22"/>
        </w:rPr>
        <w:t xml:space="preserve"> sujeto obligado deberá precisar las razones objetivas por las que la apertura de la información generaría una afectación, justificando que:</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w:t>
      </w:r>
      <w:r w:rsidRPr="00BF3B15">
        <w:rPr>
          <w:rFonts w:ascii="Palatino Linotype" w:hAnsi="Palatino Linotype" w:cs="Arial"/>
          <w:i/>
          <w:sz w:val="22"/>
          <w:szCs w:val="22"/>
        </w:rPr>
        <w:t xml:space="preserve"> La divulgación de la información representa un riesgo real, demostrable e identificable del perjuicio significativo al interés público o a la seguridad pública;</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II.</w:t>
      </w:r>
      <w:r w:rsidRPr="00BF3B15">
        <w:rPr>
          <w:rFonts w:ascii="Palatino Linotype" w:hAnsi="Palatino Linotype" w:cs="Arial"/>
          <w:i/>
          <w:sz w:val="22"/>
          <w:szCs w:val="22"/>
        </w:rPr>
        <w:t xml:space="preserve"> El riesgo de perjuicio que supondría la divulgación supera el interés público general de que se difunda; y</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III.</w:t>
      </w:r>
      <w:r w:rsidRPr="00BF3B15">
        <w:rPr>
          <w:rFonts w:ascii="Palatino Linotype" w:hAnsi="Palatino Linotype" w:cs="Arial"/>
          <w:i/>
          <w:sz w:val="22"/>
          <w:szCs w:val="22"/>
        </w:rPr>
        <w:t xml:space="preserve"> La limitación se adecua al principio de proporcionalidad y representa el medio menos restrictivo disponible representa el medio menos restrictivo disponible para evitar el perjuicio.</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Artículo 130</w:t>
      </w:r>
      <w:r w:rsidRPr="00BF3B15">
        <w:rPr>
          <w:rFonts w:ascii="Palatino Linotype" w:hAnsi="Palatino Linotype" w:cs="Arial"/>
          <w:i/>
          <w:sz w:val="22"/>
          <w:szCs w:val="22"/>
        </w:rPr>
        <w:t xml:space="preserve">. Los sujetos obligados deberán aplicar, de manera restrictiva y limitada, las excepciones al derecho de acceso a la información y sólo podrán </w:t>
      </w:r>
      <w:r w:rsidRPr="00BF3B15">
        <w:rPr>
          <w:rFonts w:ascii="Palatino Linotype" w:hAnsi="Palatino Linotype" w:cs="Arial"/>
          <w:i/>
          <w:sz w:val="22"/>
          <w:szCs w:val="22"/>
        </w:rPr>
        <w:lastRenderedPageBreak/>
        <w:t>invocarlas cuando acrediten su procedencia, sin ampliar las excepciones o supuestos de reserva o confidencialidad previstos en la Ley General y la presente Ley, aduciendo analogía o mayoría de razón.</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b/>
          <w:i/>
          <w:sz w:val="22"/>
          <w:szCs w:val="22"/>
        </w:rPr>
      </w:pP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b/>
          <w:i/>
          <w:sz w:val="22"/>
          <w:szCs w:val="22"/>
        </w:rPr>
        <w:t>Artículo 131</w:t>
      </w:r>
      <w:r w:rsidRPr="00BF3B15">
        <w:rPr>
          <w:rFonts w:ascii="Palatino Linotype" w:hAnsi="Palatino Linotype" w:cs="Arial"/>
          <w:i/>
          <w:sz w:val="22"/>
          <w:szCs w:val="22"/>
        </w:rPr>
        <w:t xml:space="preserve">. La carga de la prueba para justificar toda negativa de acceso a la información, por actualizarse cualquiera de los supuestos de clasificación previstos en esta Ley corresponderá a los sujetos obligados; </w:t>
      </w:r>
      <w:r w:rsidRPr="00BF3B15">
        <w:rPr>
          <w:rFonts w:ascii="Palatino Linotype" w:hAnsi="Palatino Linotype" w:cs="Arial"/>
          <w:b/>
          <w:i/>
          <w:sz w:val="22"/>
          <w:szCs w:val="22"/>
        </w:rPr>
        <w:t>en tal caso deberá fundar y motivar debidamente la clasificación de la información</w:t>
      </w:r>
      <w:r w:rsidRPr="00BF3B15">
        <w:rPr>
          <w:rFonts w:ascii="Palatino Linotype" w:hAnsi="Palatino Linotype" w:cs="Arial"/>
          <w:i/>
          <w:sz w:val="22"/>
          <w:szCs w:val="22"/>
        </w:rPr>
        <w:t xml:space="preserve">, de conformidad con lo previsto en la presente Ley.” </w:t>
      </w:r>
    </w:p>
    <w:p w:rsidR="008D11F1" w:rsidRPr="00BF3B15" w:rsidRDefault="008D11F1" w:rsidP="008D11F1">
      <w:pPr>
        <w:pStyle w:val="Textoindependiente2"/>
        <w:spacing w:before="120" w:line="240" w:lineRule="auto"/>
        <w:ind w:left="851" w:right="900"/>
        <w:contextualSpacing/>
        <w:jc w:val="both"/>
        <w:rPr>
          <w:rFonts w:ascii="Palatino Linotype" w:hAnsi="Palatino Linotype" w:cs="Arial"/>
          <w:i/>
          <w:sz w:val="22"/>
          <w:szCs w:val="22"/>
        </w:rPr>
      </w:pPr>
      <w:r w:rsidRPr="00BF3B15">
        <w:rPr>
          <w:rFonts w:ascii="Palatino Linotype" w:hAnsi="Palatino Linotype" w:cs="Arial"/>
          <w:i/>
          <w:sz w:val="22"/>
          <w:szCs w:val="22"/>
        </w:rPr>
        <w:t>(Énfasis añadido)</w:t>
      </w:r>
    </w:p>
    <w:p w:rsidR="009521AD" w:rsidRPr="00BF3B15" w:rsidRDefault="008D11F1" w:rsidP="008D11F1">
      <w:pPr>
        <w:spacing w:before="240" w:after="240" w:line="360" w:lineRule="auto"/>
        <w:ind w:right="51"/>
        <w:jc w:val="both"/>
        <w:rPr>
          <w:rFonts w:ascii="Palatino Linotype" w:hAnsi="Palatino Linotype" w:cs="Arial"/>
        </w:rPr>
      </w:pPr>
      <w:r w:rsidRPr="00BF3B15">
        <w:rPr>
          <w:rFonts w:ascii="Palatino Linotype" w:hAnsi="Palatino Linotype" w:cs="Arial"/>
        </w:rPr>
        <w:t>De lo transcrito,</w:t>
      </w:r>
      <w:r w:rsidRPr="00BF3B15">
        <w:rPr>
          <w:rFonts w:ascii="Palatino Linotype" w:hAnsi="Palatino Linotype" w:cs="Arial"/>
          <w:b/>
        </w:rPr>
        <w:t xml:space="preserve"> </w:t>
      </w:r>
      <w:r w:rsidRPr="00BF3B15">
        <w:rPr>
          <w:rFonts w:ascii="Palatino Linotype" w:hAnsi="Palatino Linotype" w:cs="Arial"/>
        </w:rPr>
        <w:t xml:space="preserve">se demuestra que </w:t>
      </w:r>
      <w:r w:rsidRPr="00BF3B15">
        <w:rPr>
          <w:rFonts w:ascii="Palatino Linotype" w:hAnsi="Palatino Linotype" w:cs="Arial"/>
          <w:b/>
        </w:rPr>
        <w:t>para aplicar la prueba de daño, los Sujetos Obligados deben precisar las razones objetivas por las que la apertura de la infor</w:t>
      </w:r>
      <w:r w:rsidR="00811179" w:rsidRPr="00BF3B15">
        <w:rPr>
          <w:rFonts w:ascii="Palatino Linotype" w:hAnsi="Palatino Linotype" w:cs="Arial"/>
          <w:b/>
        </w:rPr>
        <w:t>mación generaría una afectación;</w:t>
      </w:r>
      <w:r w:rsidRPr="00BF3B15">
        <w:rPr>
          <w:rFonts w:ascii="Palatino Linotype" w:hAnsi="Palatino Linotype" w:cs="Arial"/>
        </w:rPr>
        <w:t xml:space="preserve"> asimismo</w:t>
      </w:r>
      <w:r w:rsidR="00811179" w:rsidRPr="00BF3B15">
        <w:rPr>
          <w:rFonts w:ascii="Palatino Linotype" w:hAnsi="Palatino Linotype" w:cs="Arial"/>
        </w:rPr>
        <w:t>,</w:t>
      </w:r>
      <w:r w:rsidRPr="00BF3B15">
        <w:rPr>
          <w:rFonts w:ascii="Palatino Linotype" w:hAnsi="Palatino Linotype" w:cs="Arial"/>
        </w:rPr>
        <w:t xml:space="preserve"> es claro que los mismos deben aplicar de manera restrictiva y limitada las hipótesis de clasificación y </w:t>
      </w:r>
      <w:r w:rsidRPr="00BF3B15">
        <w:rPr>
          <w:rFonts w:ascii="Palatino Linotype" w:hAnsi="Palatino Linotype" w:cs="Arial"/>
          <w:b/>
        </w:rPr>
        <w:t>no hacerlas valer de manera general.</w:t>
      </w:r>
      <w:r w:rsidRPr="00BF3B15">
        <w:rPr>
          <w:rFonts w:ascii="Palatino Linotype" w:hAnsi="Palatino Linotype" w:cs="Arial"/>
        </w:rPr>
        <w:t xml:space="preserve"> </w:t>
      </w:r>
    </w:p>
    <w:p w:rsidR="00D57F57" w:rsidRPr="00BF3B15" w:rsidRDefault="008D11F1" w:rsidP="009521AD">
      <w:pPr>
        <w:spacing w:before="240" w:after="240" w:line="360" w:lineRule="auto"/>
        <w:ind w:right="51"/>
        <w:jc w:val="both"/>
        <w:rPr>
          <w:rFonts w:ascii="Palatino Linotype" w:hAnsi="Palatino Linotype" w:cs="Arial"/>
        </w:rPr>
      </w:pPr>
      <w:r w:rsidRPr="00BF3B15">
        <w:rPr>
          <w:rFonts w:ascii="Palatino Linotype" w:hAnsi="Palatino Linotype" w:cs="Arial"/>
        </w:rPr>
        <w:t>Es importante señalar que para acreditar dichos supuestos jurídicos, se debe fundar y motivar correctamente la c</w:t>
      </w:r>
      <w:r w:rsidR="00EA713C" w:rsidRPr="00BF3B15">
        <w:rPr>
          <w:rFonts w:ascii="Palatino Linotype" w:hAnsi="Palatino Linotype" w:cs="Arial"/>
        </w:rPr>
        <w:t>ategorización de la información;</w:t>
      </w:r>
      <w:r w:rsidR="009521AD" w:rsidRPr="00BF3B15">
        <w:rPr>
          <w:rFonts w:ascii="Palatino Linotype" w:hAnsi="Palatino Linotype" w:cs="Arial"/>
        </w:rPr>
        <w:t xml:space="preserve"> tal como</w:t>
      </w:r>
      <w:r w:rsidR="00EA713C" w:rsidRPr="00BF3B15">
        <w:rPr>
          <w:rFonts w:ascii="Palatino Linotype" w:hAnsi="Palatino Linotype" w:cs="Arial"/>
        </w:rPr>
        <w:t>,</w:t>
      </w:r>
      <w:r w:rsidR="009521AD" w:rsidRPr="00BF3B15">
        <w:rPr>
          <w:rFonts w:ascii="Palatino Linotype" w:hAnsi="Palatino Linotype" w:cs="Arial"/>
        </w:rPr>
        <w:t xml:space="preserve"> se conceptualizó en párrafos anteriores; ahora bien, hechas las precisiones anteriores, conviene resaltar que en el </w:t>
      </w:r>
      <w:r w:rsidR="0056712F" w:rsidRPr="00BF3B15">
        <w:rPr>
          <w:rFonts w:ascii="Palatino Linotype" w:hAnsi="Palatino Linotype" w:cs="Arial"/>
        </w:rPr>
        <w:t xml:space="preserve">Acta de la Vigésima Novena Sesión Ordinaria del Comité de Transparencia, misma que </w:t>
      </w:r>
      <w:r w:rsidR="00D57F57" w:rsidRPr="00BF3B15">
        <w:rPr>
          <w:rFonts w:ascii="Palatino Linotype" w:hAnsi="Palatino Linotype"/>
          <w:color w:val="000000"/>
        </w:rPr>
        <w:t xml:space="preserve">contiene el Acuerdo </w:t>
      </w:r>
      <w:r w:rsidR="0056712F" w:rsidRPr="00BF3B15">
        <w:rPr>
          <w:rFonts w:ascii="Palatino Linotype" w:hAnsi="Palatino Linotype"/>
          <w:color w:val="000000"/>
        </w:rPr>
        <w:t>de reserva de la i</w:t>
      </w:r>
      <w:r w:rsidR="00D57F57" w:rsidRPr="00BF3B15">
        <w:rPr>
          <w:rFonts w:ascii="Palatino Linotype" w:hAnsi="Palatino Linotype"/>
          <w:color w:val="000000"/>
        </w:rPr>
        <w:t xml:space="preserve">nformación, que se muestra a continuación: </w:t>
      </w:r>
    </w:p>
    <w:p w:rsidR="00323472" w:rsidRPr="00BF3B15" w:rsidRDefault="00323472" w:rsidP="00323472">
      <w:pPr>
        <w:spacing w:before="240" w:after="240" w:line="360" w:lineRule="auto"/>
        <w:jc w:val="center"/>
        <w:rPr>
          <w:rFonts w:ascii="Palatino Linotype" w:hAnsi="Palatino Linotype" w:cs="Arial"/>
        </w:rPr>
      </w:pPr>
      <w:r w:rsidRPr="00BF3B15">
        <w:rPr>
          <w:noProof/>
          <w:lang w:eastAsia="es-MX"/>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231966</wp:posOffset>
                </wp:positionV>
                <wp:extent cx="521713" cy="661959"/>
                <wp:effectExtent l="0" t="19050" r="31115" b="43180"/>
                <wp:wrapNone/>
                <wp:docPr id="19" name="Flecha derecha 19"/>
                <wp:cNvGraphicFramePr/>
                <a:graphic xmlns:a="http://schemas.openxmlformats.org/drawingml/2006/main">
                  <a:graphicData uri="http://schemas.microsoft.com/office/word/2010/wordprocessingShape">
                    <wps:wsp>
                      <wps:cNvSpPr/>
                      <wps:spPr>
                        <a:xfrm>
                          <a:off x="0" y="0"/>
                          <a:ext cx="521713" cy="66195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63065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9" o:spid="_x0000_s1026" type="#_x0000_t13" style="position:absolute;margin-left:0;margin-top:18.25pt;width:41.1pt;height:52.1pt;z-index:251662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" adj="10800" fillcolor="#5b9bd5 [3204]" strokecolor="#1f4d78 [1604]" strokeweight="1pt">
                <w10:wrap anchorx="margin"/>
              </v:shape>
            </w:pict>
          </mc:Fallback>
        </mc:AlternateContent>
      </w:r>
      <w:r w:rsidRPr="00BF3B15">
        <w:rPr>
          <w:noProof/>
          <w:lang w:eastAsia="es-MX"/>
        </w:rPr>
        <w:drawing>
          <wp:inline distT="0" distB="0" distL="0" distR="0" wp14:anchorId="40A80EBD" wp14:editId="7ABDFEC8">
            <wp:extent cx="5261481" cy="186806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994" t="26686" r="21235" b="45412"/>
                    <a:stretch/>
                  </pic:blipFill>
                  <pic:spPr bwMode="auto">
                    <a:xfrm>
                      <a:off x="0" y="0"/>
                      <a:ext cx="5305837" cy="1883818"/>
                    </a:xfrm>
                    <a:prstGeom prst="rect">
                      <a:avLst/>
                    </a:prstGeom>
                    <a:ln>
                      <a:noFill/>
                    </a:ln>
                    <a:extLst>
                      <a:ext uri="{53640926-AAD7-44D8-BBD7-CCE9431645EC}">
                        <a14:shadowObscured xmlns:a14="http://schemas.microsoft.com/office/drawing/2010/main"/>
                      </a:ext>
                    </a:extLst>
                  </pic:spPr>
                </pic:pic>
              </a:graphicData>
            </a:graphic>
          </wp:inline>
        </w:drawing>
      </w:r>
    </w:p>
    <w:p w:rsidR="00323472" w:rsidRPr="00BF3B15" w:rsidRDefault="00323472" w:rsidP="00323472">
      <w:pPr>
        <w:spacing w:before="240" w:after="240" w:line="360" w:lineRule="auto"/>
        <w:jc w:val="center"/>
        <w:rPr>
          <w:rFonts w:ascii="Palatino Linotype" w:hAnsi="Palatino Linotype" w:cs="Arial"/>
        </w:rPr>
      </w:pPr>
      <w:r w:rsidRPr="00BF3B15">
        <w:rPr>
          <w:noProof/>
          <w:lang w:eastAsia="es-MX"/>
        </w:rPr>
        <w:lastRenderedPageBreak/>
        <mc:AlternateContent>
          <mc:Choice Requires="wps">
            <w:drawing>
              <wp:anchor distT="0" distB="0" distL="114300" distR="114300" simplePos="0" relativeHeight="251664384" behindDoc="0" locked="0" layoutInCell="1" allowOverlap="1">
                <wp:simplePos x="0" y="0"/>
                <wp:positionH relativeFrom="column">
                  <wp:posOffset>288660</wp:posOffset>
                </wp:positionH>
                <wp:positionV relativeFrom="paragraph">
                  <wp:posOffset>1828110</wp:posOffset>
                </wp:positionV>
                <wp:extent cx="5318106" cy="1334669"/>
                <wp:effectExtent l="19050" t="19050" r="16510" b="18415"/>
                <wp:wrapNone/>
                <wp:docPr id="23" name="Rectángulo 23"/>
                <wp:cNvGraphicFramePr/>
                <a:graphic xmlns:a="http://schemas.openxmlformats.org/drawingml/2006/main">
                  <a:graphicData uri="http://schemas.microsoft.com/office/word/2010/wordprocessingShape">
                    <wps:wsp>
                      <wps:cNvSpPr/>
                      <wps:spPr>
                        <a:xfrm>
                          <a:off x="0" y="0"/>
                          <a:ext cx="5318106" cy="133466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674FA" id="Rectángulo 23" o:spid="_x0000_s1026" style="position:absolute;margin-left:22.75pt;margin-top:143.95pt;width:418.75pt;height:105.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" filled="f" strokecolor="#1f4d78 [1604]" strokeweight="2.25pt"/>
            </w:pict>
          </mc:Fallback>
        </mc:AlternateContent>
      </w:r>
      <w:r w:rsidRPr="00BF3B15">
        <w:rPr>
          <w:noProof/>
          <w:lang w:eastAsia="es-MX"/>
        </w:rPr>
        <mc:AlternateContent>
          <mc:Choice Requires="wps">
            <w:drawing>
              <wp:anchor distT="0" distB="0" distL="114300" distR="114300" simplePos="0" relativeHeight="251663360" behindDoc="0" locked="0" layoutInCell="1" allowOverlap="1">
                <wp:simplePos x="0" y="0"/>
                <wp:positionH relativeFrom="column">
                  <wp:posOffset>271831</wp:posOffset>
                </wp:positionH>
                <wp:positionV relativeFrom="paragraph">
                  <wp:posOffset>464925</wp:posOffset>
                </wp:positionV>
                <wp:extent cx="5289121" cy="1043426"/>
                <wp:effectExtent l="19050" t="19050" r="26035" b="23495"/>
                <wp:wrapNone/>
                <wp:docPr id="20" name="Rectángulo 20"/>
                <wp:cNvGraphicFramePr/>
                <a:graphic xmlns:a="http://schemas.openxmlformats.org/drawingml/2006/main">
                  <a:graphicData uri="http://schemas.microsoft.com/office/word/2010/wordprocessingShape">
                    <wps:wsp>
                      <wps:cNvSpPr/>
                      <wps:spPr>
                        <a:xfrm>
                          <a:off x="0" y="0"/>
                          <a:ext cx="5289121" cy="1043426"/>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477587" id="Rectángulo 20" o:spid="_x0000_s1026" style="position:absolute;margin-left:21.4pt;margin-top:36.6pt;width:416.45pt;height:82.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" filled="f" strokecolor="#1f4d78 [1604]" strokeweight="3pt"/>
            </w:pict>
          </mc:Fallback>
        </mc:AlternateContent>
      </w:r>
      <w:r w:rsidRPr="00BF3B15">
        <w:rPr>
          <w:noProof/>
          <w:lang w:eastAsia="es-MX"/>
        </w:rPr>
        <w:drawing>
          <wp:inline distT="0" distB="0" distL="0" distR="0" wp14:anchorId="09BF4618" wp14:editId="67986117">
            <wp:extent cx="5356225" cy="316393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790" t="11366" r="15056" b="33023"/>
                    <a:stretch/>
                  </pic:blipFill>
                  <pic:spPr bwMode="auto">
                    <a:xfrm>
                      <a:off x="0" y="0"/>
                      <a:ext cx="5384782" cy="3180806"/>
                    </a:xfrm>
                    <a:prstGeom prst="rect">
                      <a:avLst/>
                    </a:prstGeom>
                    <a:ln>
                      <a:noFill/>
                    </a:ln>
                    <a:extLst>
                      <a:ext uri="{53640926-AAD7-44D8-BBD7-CCE9431645EC}">
                        <a14:shadowObscured xmlns:a14="http://schemas.microsoft.com/office/drawing/2010/main"/>
                      </a:ext>
                    </a:extLst>
                  </pic:spPr>
                </pic:pic>
              </a:graphicData>
            </a:graphic>
          </wp:inline>
        </w:drawing>
      </w:r>
    </w:p>
    <w:p w:rsidR="00323472" w:rsidRPr="00BF3B15" w:rsidRDefault="00323472" w:rsidP="00323472">
      <w:pPr>
        <w:spacing w:before="240" w:after="240" w:line="360" w:lineRule="auto"/>
        <w:jc w:val="center"/>
        <w:rPr>
          <w:rFonts w:ascii="Palatino Linotype" w:hAnsi="Palatino Linotype" w:cs="Arial"/>
        </w:rPr>
      </w:pPr>
      <w:r w:rsidRPr="00BF3B15">
        <w:rPr>
          <w:noProof/>
          <w:lang w:eastAsia="es-MX"/>
        </w:rPr>
        <mc:AlternateContent>
          <mc:Choice Requires="wps">
            <w:drawing>
              <wp:anchor distT="0" distB="0" distL="114300" distR="114300" simplePos="0" relativeHeight="251665408" behindDoc="0" locked="0" layoutInCell="1" allowOverlap="1">
                <wp:simplePos x="0" y="0"/>
                <wp:positionH relativeFrom="column">
                  <wp:posOffset>249392</wp:posOffset>
                </wp:positionH>
                <wp:positionV relativeFrom="paragraph">
                  <wp:posOffset>2070891</wp:posOffset>
                </wp:positionV>
                <wp:extent cx="5334324" cy="1071475"/>
                <wp:effectExtent l="19050" t="19050" r="19050" b="14605"/>
                <wp:wrapNone/>
                <wp:docPr id="24" name="Rectángulo 24"/>
                <wp:cNvGraphicFramePr/>
                <a:graphic xmlns:a="http://schemas.openxmlformats.org/drawingml/2006/main">
                  <a:graphicData uri="http://schemas.microsoft.com/office/word/2010/wordprocessingShape">
                    <wps:wsp>
                      <wps:cNvSpPr/>
                      <wps:spPr>
                        <a:xfrm>
                          <a:off x="0" y="0"/>
                          <a:ext cx="5334324" cy="107147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A9FACE" id="Rectángulo 24" o:spid="_x0000_s1026" style="position:absolute;margin-left:19.65pt;margin-top:163.05pt;width:420.05pt;height:84.3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" filled="f" strokecolor="#1f4d78 [1604]" strokeweight="2.25pt"/>
            </w:pict>
          </mc:Fallback>
        </mc:AlternateContent>
      </w:r>
      <w:r w:rsidRPr="00BF3B15">
        <w:rPr>
          <w:noProof/>
          <w:lang w:eastAsia="es-MX"/>
        </w:rPr>
        <mc:AlternateContent>
          <mc:Choice Requires="wps">
            <w:drawing>
              <wp:anchor distT="0" distB="0" distL="114300" distR="114300" simplePos="0" relativeHeight="251661312" behindDoc="0" locked="0" layoutInCell="1" allowOverlap="1">
                <wp:simplePos x="0" y="0"/>
                <wp:positionH relativeFrom="column">
                  <wp:posOffset>417685</wp:posOffset>
                </wp:positionH>
                <wp:positionV relativeFrom="paragraph">
                  <wp:posOffset>3181634</wp:posOffset>
                </wp:positionV>
                <wp:extent cx="5340545" cy="1307088"/>
                <wp:effectExtent l="0" t="0" r="31750" b="26670"/>
                <wp:wrapNone/>
                <wp:docPr id="18" name="Conector recto 18"/>
                <wp:cNvGraphicFramePr/>
                <a:graphic xmlns:a="http://schemas.openxmlformats.org/drawingml/2006/main">
                  <a:graphicData uri="http://schemas.microsoft.com/office/word/2010/wordprocessingShape">
                    <wps:wsp>
                      <wps:cNvCnPr/>
                      <wps:spPr>
                        <a:xfrm>
                          <a:off x="0" y="0"/>
                          <a:ext cx="5340545" cy="1307088"/>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58EC62" id="Conector recto 18"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2.9pt,250.5pt" to="453.4pt,3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" strokecolor="#5b9bd5 [3204]" strokeweight="1pt">
                <v:stroke joinstyle="miter"/>
              </v:line>
            </w:pict>
          </mc:Fallback>
        </mc:AlternateContent>
      </w:r>
      <w:r w:rsidRPr="00BF3B15">
        <w:rPr>
          <w:noProof/>
          <w:lang w:eastAsia="es-MX"/>
        </w:rPr>
        <w:drawing>
          <wp:inline distT="0" distB="0" distL="0" distR="0" wp14:anchorId="6FC05AE7" wp14:editId="48A73823">
            <wp:extent cx="5334446" cy="31246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371" t="13086" r="14475" b="31646"/>
                    <a:stretch/>
                  </pic:blipFill>
                  <pic:spPr bwMode="auto">
                    <a:xfrm>
                      <a:off x="0" y="0"/>
                      <a:ext cx="5376426" cy="3149257"/>
                    </a:xfrm>
                    <a:prstGeom prst="rect">
                      <a:avLst/>
                    </a:prstGeom>
                    <a:ln>
                      <a:noFill/>
                    </a:ln>
                    <a:extLst>
                      <a:ext uri="{53640926-AAD7-44D8-BBD7-CCE9431645EC}">
                        <a14:shadowObscured xmlns:a14="http://schemas.microsoft.com/office/drawing/2010/main"/>
                      </a:ext>
                    </a:extLst>
                  </pic:spPr>
                </pic:pic>
              </a:graphicData>
            </a:graphic>
          </wp:inline>
        </w:drawing>
      </w:r>
    </w:p>
    <w:p w:rsidR="00323472" w:rsidRPr="00BF3B15" w:rsidRDefault="00323472" w:rsidP="00323472">
      <w:pPr>
        <w:spacing w:before="240" w:after="240" w:line="360" w:lineRule="auto"/>
        <w:jc w:val="center"/>
        <w:rPr>
          <w:rFonts w:ascii="Palatino Linotype" w:hAnsi="Palatino Linotype" w:cs="Arial"/>
        </w:rPr>
      </w:pPr>
      <w:r w:rsidRPr="00BF3B15">
        <w:rPr>
          <w:noProof/>
          <w:lang w:eastAsia="es-MX"/>
        </w:rPr>
        <w:lastRenderedPageBreak/>
        <mc:AlternateContent>
          <mc:Choice Requires="wps">
            <w:drawing>
              <wp:anchor distT="0" distB="0" distL="114300" distR="114300" simplePos="0" relativeHeight="251666432" behindDoc="0" locked="0" layoutInCell="1" allowOverlap="1">
                <wp:simplePos x="0" y="0"/>
                <wp:positionH relativeFrom="column">
                  <wp:posOffset>232562</wp:posOffset>
                </wp:positionH>
                <wp:positionV relativeFrom="paragraph">
                  <wp:posOffset>2254456</wp:posOffset>
                </wp:positionV>
                <wp:extent cx="5413472" cy="1127573"/>
                <wp:effectExtent l="19050" t="19050" r="15875" b="15875"/>
                <wp:wrapNone/>
                <wp:docPr id="25" name="Rectángulo 25"/>
                <wp:cNvGraphicFramePr/>
                <a:graphic xmlns:a="http://schemas.openxmlformats.org/drawingml/2006/main">
                  <a:graphicData uri="http://schemas.microsoft.com/office/word/2010/wordprocessingShape">
                    <wps:wsp>
                      <wps:cNvSpPr/>
                      <wps:spPr>
                        <a:xfrm>
                          <a:off x="0" y="0"/>
                          <a:ext cx="5413472" cy="112757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FC4E48" id="Rectángulo 25" o:spid="_x0000_s1026" style="position:absolute;margin-left:18.3pt;margin-top:177.5pt;width:426.25pt;height:88.8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" filled="f" strokecolor="#1f4d78 [1604]" strokeweight="2.25pt"/>
            </w:pict>
          </mc:Fallback>
        </mc:AlternateContent>
      </w:r>
      <w:r w:rsidRPr="00BF3B15">
        <w:rPr>
          <w:noProof/>
          <w:lang w:eastAsia="es-MX"/>
        </w:rPr>
        <w:drawing>
          <wp:inline distT="0" distB="0" distL="0" distR="0" wp14:anchorId="6DC4CC9A" wp14:editId="1CCE6934">
            <wp:extent cx="5357437" cy="3332231"/>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373" t="11192" r="14475" b="12349"/>
                    <a:stretch/>
                  </pic:blipFill>
                  <pic:spPr bwMode="auto">
                    <a:xfrm>
                      <a:off x="0" y="0"/>
                      <a:ext cx="5370812" cy="3340550"/>
                    </a:xfrm>
                    <a:prstGeom prst="rect">
                      <a:avLst/>
                    </a:prstGeom>
                    <a:ln>
                      <a:noFill/>
                    </a:ln>
                    <a:extLst>
                      <a:ext uri="{53640926-AAD7-44D8-BBD7-CCE9431645EC}">
                        <a14:shadowObscured xmlns:a14="http://schemas.microsoft.com/office/drawing/2010/main"/>
                      </a:ext>
                    </a:extLst>
                  </pic:spPr>
                </pic:pic>
              </a:graphicData>
            </a:graphic>
          </wp:inline>
        </w:drawing>
      </w:r>
    </w:p>
    <w:p w:rsidR="00A03B5C" w:rsidRPr="00BF3B15" w:rsidRDefault="009521AD" w:rsidP="00323472">
      <w:pPr>
        <w:spacing w:before="240" w:after="240" w:line="360" w:lineRule="auto"/>
        <w:ind w:right="49"/>
        <w:jc w:val="both"/>
        <w:rPr>
          <w:rFonts w:ascii="Palatino Linotype" w:hAnsi="Palatino Linotype" w:cs="Arial"/>
        </w:rPr>
      </w:pPr>
      <w:r w:rsidRPr="00BF3B15">
        <w:rPr>
          <w:rFonts w:ascii="Palatino Linotype" w:hAnsi="Palatino Linotype" w:cs="Arial"/>
          <w:noProof/>
          <w:lang w:eastAsia="es-MX"/>
        </w:rPr>
        <w:t>E</w:t>
      </w:r>
      <w:r w:rsidR="00323472" w:rsidRPr="00BF3B15">
        <w:rPr>
          <w:rFonts w:ascii="Palatino Linotype" w:hAnsi="Palatino Linotype" w:cs="Arial"/>
          <w:noProof/>
          <w:lang w:eastAsia="es-MX"/>
        </w:rPr>
        <w:t>ste Órgano Garante considera que</w:t>
      </w:r>
      <w:r w:rsidRPr="00BF3B15">
        <w:rPr>
          <w:rFonts w:ascii="Palatino Linotype" w:hAnsi="Palatino Linotype" w:cs="Arial"/>
          <w:noProof/>
          <w:lang w:eastAsia="es-MX"/>
        </w:rPr>
        <w:t>, dicho Acuerdo no</w:t>
      </w:r>
      <w:r w:rsidR="00323472" w:rsidRPr="00BF3B15">
        <w:rPr>
          <w:rFonts w:ascii="Palatino Linotype" w:hAnsi="Palatino Linotype" w:cs="Arial"/>
          <w:noProof/>
          <w:lang w:eastAsia="es-MX"/>
        </w:rPr>
        <w:t xml:space="preserve"> satisface el derecho de acceso a la información de la hoy </w:t>
      </w:r>
      <w:r w:rsidR="00323472" w:rsidRPr="00BF3B15">
        <w:rPr>
          <w:rFonts w:ascii="Palatino Linotype" w:hAnsi="Palatino Linotype" w:cs="Arial"/>
          <w:b/>
          <w:noProof/>
          <w:color w:val="000000"/>
          <w:lang w:eastAsia="es-MX"/>
        </w:rPr>
        <w:t>RECURRENTE</w:t>
      </w:r>
      <w:r w:rsidR="00323472" w:rsidRPr="00BF3B15">
        <w:rPr>
          <w:rFonts w:ascii="Palatino Linotype" w:hAnsi="Palatino Linotype" w:cs="Arial"/>
          <w:noProof/>
          <w:lang w:eastAsia="es-MX"/>
        </w:rPr>
        <w:t xml:space="preserve">, en atención a </w:t>
      </w:r>
      <w:r w:rsidR="00323472" w:rsidRPr="00BF3B15">
        <w:rPr>
          <w:rFonts w:ascii="Palatino Linotype" w:hAnsi="Palatino Linotype" w:cs="Arial"/>
        </w:rPr>
        <w:t xml:space="preserve">que </w:t>
      </w:r>
      <w:r w:rsidR="00323472" w:rsidRPr="00BF3B15">
        <w:rPr>
          <w:rFonts w:ascii="Palatino Linotype" w:hAnsi="Palatino Linotype" w:cs="Arial"/>
          <w:b/>
        </w:rPr>
        <w:t xml:space="preserve">EL SUJETO OBLIGADO </w:t>
      </w:r>
      <w:r w:rsidR="00323472" w:rsidRPr="00BF3B15">
        <w:rPr>
          <w:rFonts w:ascii="Palatino Linotype" w:hAnsi="Palatino Linotype" w:cs="Arial"/>
        </w:rPr>
        <w:t xml:space="preserve">únicamente </w:t>
      </w:r>
      <w:r w:rsidR="00323472" w:rsidRPr="00BF3B15">
        <w:rPr>
          <w:rFonts w:ascii="Palatino Linotype" w:hAnsi="Palatino Linotype" w:cs="Arial"/>
          <w:b/>
        </w:rPr>
        <w:t>invoco de manera general</w:t>
      </w:r>
      <w:r w:rsidR="00323472" w:rsidRPr="00BF3B15">
        <w:rPr>
          <w:rFonts w:ascii="Palatino Linotype" w:hAnsi="Palatino Linotype" w:cs="Arial"/>
        </w:rPr>
        <w:t xml:space="preserve"> la causal bajo la cual pretendió reservar la información</w:t>
      </w:r>
      <w:r w:rsidR="00811179" w:rsidRPr="00BF3B15">
        <w:rPr>
          <w:rFonts w:ascii="Palatino Linotype" w:hAnsi="Palatino Linotype" w:cs="Arial"/>
        </w:rPr>
        <w:t>;</w:t>
      </w:r>
      <w:r w:rsidR="00323472" w:rsidRPr="00BF3B15">
        <w:rPr>
          <w:rFonts w:ascii="Palatino Linotype" w:hAnsi="Palatino Linotype" w:cs="Arial"/>
        </w:rPr>
        <w:t xml:space="preserve"> señalando</w:t>
      </w:r>
      <w:r w:rsidR="00811179" w:rsidRPr="00BF3B15">
        <w:rPr>
          <w:rFonts w:ascii="Palatino Linotype" w:hAnsi="Palatino Linotype" w:cs="Arial"/>
        </w:rPr>
        <w:t>,</w:t>
      </w:r>
      <w:r w:rsidR="00A03B5C" w:rsidRPr="00BF3B15">
        <w:rPr>
          <w:rFonts w:ascii="Palatino Linotype" w:hAnsi="Palatino Linotype" w:cs="Arial"/>
        </w:rPr>
        <w:t xml:space="preserve"> de igual manera</w:t>
      </w:r>
      <w:r w:rsidR="00811179" w:rsidRPr="00BF3B15">
        <w:rPr>
          <w:rFonts w:ascii="Palatino Linotype" w:hAnsi="Palatino Linotype" w:cs="Arial"/>
        </w:rPr>
        <w:t>,</w:t>
      </w:r>
      <w:r w:rsidR="00323472" w:rsidRPr="00BF3B15">
        <w:rPr>
          <w:rFonts w:ascii="Palatino Linotype" w:hAnsi="Palatino Linotype" w:cs="Arial"/>
        </w:rPr>
        <w:t xml:space="preserve"> que</w:t>
      </w:r>
      <w:r w:rsidR="00A03B5C" w:rsidRPr="00BF3B15">
        <w:rPr>
          <w:rFonts w:ascii="Palatino Linotype" w:hAnsi="Palatino Linotype" w:cs="Arial"/>
        </w:rPr>
        <w:t xml:space="preserve"> su</w:t>
      </w:r>
      <w:r w:rsidR="00323472" w:rsidRPr="00BF3B15">
        <w:rPr>
          <w:rFonts w:ascii="Palatino Linotype" w:hAnsi="Palatino Linotype" w:cs="Arial"/>
        </w:rPr>
        <w:t xml:space="preserve"> </w:t>
      </w:r>
      <w:r w:rsidR="00A03B5C" w:rsidRPr="00BF3B15">
        <w:rPr>
          <w:rFonts w:ascii="Palatino Linotype" w:hAnsi="Palatino Linotype" w:cs="Arial"/>
        </w:rPr>
        <w:t xml:space="preserve">publicidad generaría una afectación al </w:t>
      </w:r>
      <w:r w:rsidR="00811179" w:rsidRPr="00BF3B15">
        <w:rPr>
          <w:rFonts w:ascii="Palatino Linotype" w:hAnsi="Palatino Linotype" w:cs="Arial"/>
        </w:rPr>
        <w:t xml:space="preserve">estado </w:t>
      </w:r>
      <w:r w:rsidR="00A03B5C" w:rsidRPr="00BF3B15">
        <w:rPr>
          <w:rFonts w:ascii="Palatino Linotype" w:hAnsi="Palatino Linotype" w:cs="Arial"/>
        </w:rPr>
        <w:t>de fuerza y a la capacidad de reacción del municipio, sin llevar a cabo la prueba de daño que establece la ley de la materia</w:t>
      </w:r>
      <w:r w:rsidR="00811179" w:rsidRPr="00BF3B15">
        <w:rPr>
          <w:rFonts w:ascii="Palatino Linotype" w:hAnsi="Palatino Linotype" w:cs="Arial"/>
        </w:rPr>
        <w:t>,</w:t>
      </w:r>
      <w:r w:rsidR="00A03B5C" w:rsidRPr="00BF3B15">
        <w:rPr>
          <w:rFonts w:ascii="Palatino Linotype" w:hAnsi="Palatino Linotype" w:cs="Arial"/>
        </w:rPr>
        <w:t xml:space="preserve"> para delimitar la afectación al i</w:t>
      </w:r>
      <w:r w:rsidRPr="00BF3B15">
        <w:rPr>
          <w:rFonts w:ascii="Palatino Linotype" w:hAnsi="Palatino Linotype" w:cs="Arial"/>
        </w:rPr>
        <w:t>nterés colectivo de la sociedad; por lo tanto, es dable referir que a la información solicitada le reviste el carácter de pública en atención a lo siguiente:</w:t>
      </w:r>
    </w:p>
    <w:p w:rsidR="00D856CB" w:rsidRPr="00BF3B15" w:rsidRDefault="003E5ABB" w:rsidP="00D856CB">
      <w:pPr>
        <w:autoSpaceDE w:val="0"/>
        <w:autoSpaceDN w:val="0"/>
        <w:adjustRightInd w:val="0"/>
        <w:spacing w:before="100" w:beforeAutospacing="1" w:after="100" w:afterAutospacing="1" w:line="360" w:lineRule="auto"/>
        <w:ind w:right="49"/>
        <w:jc w:val="both"/>
        <w:rPr>
          <w:rFonts w:ascii="Palatino Linotype" w:hAnsi="Palatino Linotype"/>
        </w:rPr>
      </w:pPr>
      <w:r w:rsidRPr="00BF3B15">
        <w:rPr>
          <w:rFonts w:ascii="Palatino Linotype" w:hAnsi="Palatino Linotype"/>
        </w:rPr>
        <w:t xml:space="preserve">En ese </w:t>
      </w:r>
      <w:r w:rsidR="00C77446" w:rsidRPr="00BF3B15">
        <w:rPr>
          <w:rFonts w:ascii="Palatino Linotype" w:hAnsi="Palatino Linotype"/>
        </w:rPr>
        <w:t xml:space="preserve">tenor, </w:t>
      </w:r>
      <w:r w:rsidR="009521AD" w:rsidRPr="00BF3B15">
        <w:rPr>
          <w:rFonts w:ascii="Palatino Linotype" w:hAnsi="Palatino Linotype"/>
        </w:rPr>
        <w:t xml:space="preserve">se procede al </w:t>
      </w:r>
      <w:r w:rsidR="00A03B5C" w:rsidRPr="00BF3B15">
        <w:rPr>
          <w:rFonts w:ascii="Palatino Linotype" w:hAnsi="Palatino Linotype"/>
        </w:rPr>
        <w:t xml:space="preserve">estudio </w:t>
      </w:r>
      <w:r w:rsidR="009521AD" w:rsidRPr="00BF3B15">
        <w:rPr>
          <w:rFonts w:ascii="Palatino Linotype" w:hAnsi="Palatino Linotype"/>
        </w:rPr>
        <w:t xml:space="preserve">de la información identificada </w:t>
      </w:r>
      <w:r w:rsidR="00A03B5C" w:rsidRPr="00BF3B15">
        <w:rPr>
          <w:rFonts w:ascii="Palatino Linotype" w:hAnsi="Palatino Linotype"/>
        </w:rPr>
        <w:t xml:space="preserve">con el inciso a), consistente en los </w:t>
      </w:r>
      <w:r w:rsidR="00811179" w:rsidRPr="00BF3B15">
        <w:rPr>
          <w:rFonts w:ascii="Palatino Linotype" w:hAnsi="Palatino Linotype"/>
        </w:rPr>
        <w:t xml:space="preserve">recibos </w:t>
      </w:r>
      <w:r w:rsidR="00A03B5C" w:rsidRPr="00BF3B15">
        <w:rPr>
          <w:rFonts w:ascii="Palatino Linotype" w:hAnsi="Palatino Linotype"/>
        </w:rPr>
        <w:t xml:space="preserve">de pago de los servidores públicos adscritos a la Dirección de </w:t>
      </w:r>
      <w:r w:rsidR="00C31410" w:rsidRPr="00BF3B15">
        <w:rPr>
          <w:rFonts w:ascii="Palatino Linotype" w:hAnsi="Palatino Linotype"/>
        </w:rPr>
        <w:t xml:space="preserve">Seguridad Pública y Tránsito, de la </w:t>
      </w:r>
      <w:r w:rsidR="00811179" w:rsidRPr="00BF3B15">
        <w:rPr>
          <w:rFonts w:ascii="Palatino Linotype" w:hAnsi="Palatino Linotype"/>
        </w:rPr>
        <w:t xml:space="preserve">primera </w:t>
      </w:r>
      <w:r w:rsidR="00C31410" w:rsidRPr="00BF3B15">
        <w:rPr>
          <w:rFonts w:ascii="Palatino Linotype" w:hAnsi="Palatino Linotype"/>
        </w:rPr>
        <w:t>quincena</w:t>
      </w:r>
      <w:r w:rsidR="00811179" w:rsidRPr="00BF3B15">
        <w:rPr>
          <w:rFonts w:ascii="Palatino Linotype" w:hAnsi="Palatino Linotype"/>
        </w:rPr>
        <w:t xml:space="preserve"> del mes de noviembre de 2018; razón por la cual</w:t>
      </w:r>
      <w:r w:rsidR="0052071B" w:rsidRPr="00BF3B15">
        <w:rPr>
          <w:rFonts w:ascii="Palatino Linotype" w:hAnsi="Palatino Linotype"/>
        </w:rPr>
        <w:t xml:space="preserve">, </w:t>
      </w:r>
      <w:r w:rsidR="00D856CB" w:rsidRPr="00BF3B15">
        <w:rPr>
          <w:rFonts w:ascii="Palatino Linotype" w:hAnsi="Palatino Linotype" w:cs="Arial"/>
        </w:rPr>
        <w:t xml:space="preserve">conviene traer a contexto lo establecido en la </w:t>
      </w:r>
      <w:r w:rsidR="00D856CB" w:rsidRPr="00BF3B15">
        <w:rPr>
          <w:rFonts w:ascii="Palatino Linotype" w:hAnsi="Palatino Linotype"/>
        </w:rPr>
        <w:t xml:space="preserve">Ley de </w:t>
      </w:r>
      <w:r w:rsidR="00D856CB" w:rsidRPr="00BF3B15">
        <w:rPr>
          <w:rFonts w:ascii="Palatino Linotype" w:hAnsi="Palatino Linotype"/>
        </w:rPr>
        <w:lastRenderedPageBreak/>
        <w:t>Transparencia y Acceso a la Información Pública del Estado de México y Municipios, en su artículo 23, fracción IV y el penúltimo párrafo, que establecen lo siguiente:</w:t>
      </w:r>
    </w:p>
    <w:p w:rsidR="00D856CB" w:rsidRPr="00BF3B15" w:rsidRDefault="00D856CB" w:rsidP="00D856CB">
      <w:pPr>
        <w:spacing w:before="120" w:after="120"/>
        <w:ind w:left="851" w:right="902"/>
        <w:jc w:val="both"/>
        <w:rPr>
          <w:rFonts w:ascii="Palatino Linotype" w:hAnsi="Palatino Linotype" w:cs="Arial"/>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Artículo 23.</w:t>
      </w:r>
      <w:r w:rsidRPr="00BF3B15">
        <w:rPr>
          <w:rFonts w:ascii="Palatino Linotype" w:hAnsi="Palatino Linotype" w:cs="Arial"/>
          <w:i/>
          <w:sz w:val="22"/>
          <w:szCs w:val="22"/>
        </w:rPr>
        <w:t xml:space="preserve"> Son sujetos obligados a transparentar y permitir el acceso a su información y proteger los datos personales que obren en su poder:</w:t>
      </w:r>
    </w:p>
    <w:p w:rsidR="00D856CB" w:rsidRPr="00BF3B15" w:rsidRDefault="00D856CB" w:rsidP="00D856CB">
      <w:pPr>
        <w:spacing w:before="120" w:after="120"/>
        <w:ind w:left="851" w:right="902"/>
        <w:jc w:val="both"/>
        <w:rPr>
          <w:rFonts w:ascii="Palatino Linotype" w:hAnsi="Palatino Linotype" w:cs="Arial"/>
          <w:i/>
          <w:sz w:val="22"/>
          <w:szCs w:val="22"/>
        </w:rPr>
      </w:pPr>
      <w:r w:rsidRPr="00BF3B15">
        <w:rPr>
          <w:rFonts w:ascii="Palatino Linotype" w:hAnsi="Palatino Linotype" w:cs="Arial"/>
          <w:i/>
          <w:sz w:val="22"/>
          <w:szCs w:val="22"/>
        </w:rPr>
        <w:t>…</w:t>
      </w:r>
    </w:p>
    <w:p w:rsidR="00D856CB" w:rsidRPr="00BF3B15" w:rsidRDefault="00D856CB" w:rsidP="00D856CB">
      <w:pPr>
        <w:spacing w:before="120" w:after="120"/>
        <w:ind w:left="851" w:right="902"/>
        <w:jc w:val="both"/>
        <w:rPr>
          <w:rFonts w:ascii="Palatino Linotype" w:hAnsi="Palatino Linotype" w:cs="Arial"/>
          <w:b/>
          <w:i/>
          <w:sz w:val="22"/>
          <w:szCs w:val="22"/>
        </w:rPr>
      </w:pPr>
      <w:r w:rsidRPr="00BF3B15">
        <w:rPr>
          <w:rFonts w:ascii="Palatino Linotype" w:hAnsi="Palatino Linotype" w:cs="Arial"/>
          <w:b/>
          <w:i/>
          <w:sz w:val="22"/>
          <w:szCs w:val="22"/>
        </w:rPr>
        <w:t>IV. Los ayuntamientos y las dependencias, organismos, órganos y entidades de la administración municipal;</w:t>
      </w:r>
    </w:p>
    <w:p w:rsidR="00D856CB" w:rsidRPr="00BF3B15" w:rsidRDefault="00D856CB" w:rsidP="00D856CB">
      <w:pPr>
        <w:spacing w:before="120" w:after="120"/>
        <w:ind w:left="851" w:right="902"/>
        <w:jc w:val="both"/>
        <w:rPr>
          <w:rFonts w:ascii="Palatino Linotype" w:hAnsi="Palatino Linotype" w:cs="Arial"/>
          <w:i/>
          <w:sz w:val="22"/>
          <w:szCs w:val="22"/>
        </w:rPr>
      </w:pPr>
      <w:r w:rsidRPr="00BF3B15">
        <w:rPr>
          <w:rFonts w:ascii="Palatino Linotype" w:hAnsi="Palatino Linotype" w:cs="Arial"/>
          <w:i/>
          <w:sz w:val="22"/>
          <w:szCs w:val="22"/>
        </w:rPr>
        <w:t>…</w:t>
      </w:r>
    </w:p>
    <w:p w:rsidR="00D856CB" w:rsidRPr="00BF3B15" w:rsidRDefault="00D856CB" w:rsidP="00D856CB">
      <w:pPr>
        <w:spacing w:before="120" w:after="120"/>
        <w:ind w:left="851" w:right="902"/>
        <w:jc w:val="both"/>
        <w:rPr>
          <w:rFonts w:ascii="Palatino Linotype" w:hAnsi="Palatino Linotype" w:cs="Arial"/>
          <w:b/>
          <w:i/>
          <w:sz w:val="22"/>
          <w:szCs w:val="22"/>
        </w:rPr>
      </w:pPr>
      <w:r w:rsidRPr="00BF3B15">
        <w:rPr>
          <w:rFonts w:ascii="Palatino Linotype" w:hAnsi="Palatino Linotype" w:cs="Arial"/>
          <w:b/>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D856CB" w:rsidRPr="00BF3B15" w:rsidRDefault="00D856CB" w:rsidP="00D856CB">
      <w:pPr>
        <w:spacing w:before="120" w:after="120"/>
        <w:ind w:left="851" w:right="902"/>
        <w:jc w:val="both"/>
        <w:rPr>
          <w:rFonts w:ascii="Palatino Linotype" w:hAnsi="Palatino Linotype" w:cs="Arial"/>
          <w:b/>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w:t>
      </w:r>
    </w:p>
    <w:p w:rsidR="00D856CB" w:rsidRPr="00BF3B15" w:rsidRDefault="00D856CB" w:rsidP="00D856CB">
      <w:pPr>
        <w:spacing w:before="120" w:after="120"/>
        <w:ind w:left="851" w:right="902"/>
        <w:jc w:val="both"/>
        <w:rPr>
          <w:rFonts w:ascii="Palatino Linotype" w:hAnsi="Palatino Linotype" w:cs="Arial"/>
          <w:i/>
          <w:sz w:val="22"/>
          <w:szCs w:val="22"/>
        </w:rPr>
      </w:pPr>
      <w:r w:rsidRPr="00BF3B15">
        <w:rPr>
          <w:rFonts w:ascii="Palatino Linotype" w:hAnsi="Palatino Linotype" w:cs="Arial"/>
          <w:i/>
          <w:sz w:val="22"/>
          <w:szCs w:val="22"/>
        </w:rPr>
        <w:t>(Énfasis añadido)</w:t>
      </w:r>
    </w:p>
    <w:p w:rsidR="00D856CB" w:rsidRPr="00BF3B15" w:rsidRDefault="00D856CB" w:rsidP="00D856CB">
      <w:pPr>
        <w:spacing w:before="240" w:after="240" w:line="360" w:lineRule="auto"/>
        <w:jc w:val="both"/>
        <w:rPr>
          <w:rFonts w:ascii="Palatino Linotype" w:hAnsi="Palatino Linotype"/>
          <w:b/>
        </w:rPr>
      </w:pPr>
      <w:r w:rsidRPr="00BF3B15">
        <w:rPr>
          <w:rFonts w:ascii="Palatino Linotype" w:hAnsi="Palatino Linotype"/>
        </w:rPr>
        <w:t xml:space="preserve">Conforme a los preceptos legales citados, se desprende que el Municipio de Metepec como Sujeto Obligado tiene el deber de garantizar el derecho de acceso a la información pública, con el fin de que, los particulares conozcan toda aquella información relativa a los </w:t>
      </w:r>
      <w:r w:rsidRPr="00BF3B15">
        <w:rPr>
          <w:rFonts w:ascii="Palatino Linotype" w:hAnsi="Palatino Linotype"/>
          <w:b/>
        </w:rPr>
        <w:t>montos y las personas a quienes por cualquier motivo</w:t>
      </w:r>
      <w:r w:rsidR="00811179" w:rsidRPr="00BF3B15">
        <w:rPr>
          <w:rFonts w:ascii="Palatino Linotype" w:hAnsi="Palatino Linotype"/>
          <w:b/>
        </w:rPr>
        <w:t xml:space="preserve"> se entreguen recursos públicos;</w:t>
      </w:r>
      <w:r w:rsidRPr="00BF3B15">
        <w:rPr>
          <w:rFonts w:ascii="Palatino Linotype" w:hAnsi="Palatino Linotype"/>
        </w:rPr>
        <w:t xml:space="preserve"> así como, conocer los informes que se entreguen sobre el us</w:t>
      </w:r>
      <w:r w:rsidR="00811179" w:rsidRPr="00BF3B15">
        <w:rPr>
          <w:rFonts w:ascii="Palatino Linotype" w:hAnsi="Palatino Linotype"/>
        </w:rPr>
        <w:t xml:space="preserve">o y destino de dichos recursos; </w:t>
      </w:r>
      <w:r w:rsidRPr="00BF3B15">
        <w:rPr>
          <w:rFonts w:ascii="Palatino Linotype" w:hAnsi="Palatino Linotype"/>
        </w:rPr>
        <w:t>en consecuencia</w:t>
      </w:r>
      <w:r w:rsidR="00811179" w:rsidRPr="00BF3B15">
        <w:rPr>
          <w:rFonts w:ascii="Palatino Linotype" w:hAnsi="Palatino Linotype"/>
        </w:rPr>
        <w:t>,</w:t>
      </w:r>
      <w:r w:rsidRPr="00BF3B15">
        <w:rPr>
          <w:rFonts w:ascii="Palatino Linotype" w:hAnsi="Palatino Linotype"/>
        </w:rPr>
        <w:t xml:space="preserve"> </w:t>
      </w:r>
      <w:r w:rsidRPr="00BF3B15">
        <w:rPr>
          <w:rFonts w:ascii="Palatino Linotype" w:hAnsi="Palatino Linotype"/>
          <w:b/>
        </w:rPr>
        <w:t xml:space="preserve">EL SUJETO OBLIGADO </w:t>
      </w:r>
      <w:r w:rsidRPr="00BF3B15">
        <w:rPr>
          <w:rFonts w:ascii="Palatino Linotype" w:hAnsi="Palatino Linotype" w:cs="Arial"/>
        </w:rPr>
        <w:t xml:space="preserve">se encuentra constreñido a entregar la información pública solicitada por los particulares y que ésta misma se encuentre en sus archivos o que obre en su posesión, </w:t>
      </w:r>
      <w:r w:rsidRPr="00BF3B15">
        <w:rPr>
          <w:rFonts w:ascii="Palatino Linotype" w:hAnsi="Palatino Linotype" w:cs="Arial"/>
          <w:b/>
        </w:rPr>
        <w:t>privilegiando en todo momento el principio de máxima publicidad,</w:t>
      </w:r>
      <w:r w:rsidRPr="00BF3B15">
        <w:rPr>
          <w:rFonts w:ascii="Palatino Linotype" w:hAnsi="Palatino Linotype" w:cs="Arial"/>
        </w:rPr>
        <w:t xml:space="preserve"> sin generarla, procesarla, resumirla, ni presentarla conforme al interés del solicitante. </w:t>
      </w:r>
    </w:p>
    <w:p w:rsidR="00D856CB" w:rsidRPr="00BF3B15" w:rsidRDefault="00D856CB" w:rsidP="00D856CB">
      <w:pPr>
        <w:spacing w:before="240" w:after="240" w:line="360" w:lineRule="auto"/>
        <w:jc w:val="both"/>
        <w:rPr>
          <w:rFonts w:ascii="Palatino Linotype" w:hAnsi="Palatino Linotype" w:cs="Arial"/>
        </w:rPr>
      </w:pPr>
      <w:r w:rsidRPr="00BF3B15">
        <w:rPr>
          <w:rFonts w:ascii="Palatino Linotype" w:hAnsi="Palatino Linotype" w:cs="Arial"/>
        </w:rPr>
        <w:t xml:space="preserve">Queda de manifiesto entonces que, </w:t>
      </w:r>
      <w:r w:rsidRPr="00BF3B15">
        <w:rPr>
          <w:rFonts w:ascii="Palatino Linotype" w:hAnsi="Palatino Linotype" w:cs="Arial"/>
          <w:b/>
        </w:rPr>
        <w:t>se considera información pública al conjunto de datos que posee cualquier autoridad, obtenidos en virtud del ejercicio de sus funciones de derecho público</w:t>
      </w:r>
      <w:r w:rsidRPr="00BF3B15">
        <w:rPr>
          <w:rFonts w:ascii="Palatino Linotype" w:hAnsi="Palatino Linotype" w:cs="Arial"/>
        </w:rPr>
        <w:t xml:space="preserve">; criterio que ha sostenido el más alto tribunal </w:t>
      </w:r>
      <w:r w:rsidRPr="00BF3B15">
        <w:rPr>
          <w:rFonts w:ascii="Palatino Linotype" w:hAnsi="Palatino Linotype" w:cs="Arial"/>
        </w:rPr>
        <w:lastRenderedPageBreak/>
        <w:t>jurisdiccional del país, la Suprema Corte de Justicia de la Nación, en la tesis 2a. LXXXVIII/2010, sustentada por la Segunda Sala, publicada en el Semanario Judicial de la Federación y su Gaceta, Novena Época, tomo XXXII, agosto de 2010, página 463, con el siguiente contenido:</w:t>
      </w:r>
    </w:p>
    <w:p w:rsidR="00D856CB" w:rsidRPr="00BF3B15" w:rsidRDefault="00D856CB" w:rsidP="00D856CB">
      <w:pPr>
        <w:spacing w:before="120" w:after="120"/>
        <w:ind w:left="851" w:right="902"/>
        <w:jc w:val="both"/>
        <w:rPr>
          <w:rFonts w:ascii="Palatino Linotype" w:hAnsi="Palatino Linotype" w:cs="Arial"/>
          <w:i/>
          <w:sz w:val="22"/>
          <w:szCs w:val="22"/>
        </w:rPr>
      </w:pPr>
      <w:r w:rsidRPr="00BF3B15">
        <w:rPr>
          <w:rFonts w:ascii="Palatino Linotype" w:hAnsi="Palatino Linotype" w:cs="Arial"/>
          <w:bCs/>
          <w:i/>
          <w:sz w:val="22"/>
          <w:szCs w:val="22"/>
        </w:rPr>
        <w:t>“</w:t>
      </w:r>
      <w:r w:rsidRPr="00BF3B15">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BF3B15">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rsidR="00D856CB" w:rsidRPr="00BF3B15" w:rsidRDefault="00D856CB" w:rsidP="00D856CB">
      <w:pPr>
        <w:spacing w:before="240" w:after="240" w:line="360" w:lineRule="auto"/>
        <w:jc w:val="both"/>
        <w:rPr>
          <w:rFonts w:ascii="Palatino Linotype" w:hAnsi="Palatino Linotype" w:cs="Arial"/>
          <w:color w:val="000000" w:themeColor="text1"/>
        </w:rPr>
      </w:pPr>
      <w:r w:rsidRPr="00BF3B15">
        <w:rPr>
          <w:rFonts w:ascii="Palatino Linotype" w:hAnsi="Palatino Linotype" w:cs="Arial"/>
          <w:color w:val="000000" w:themeColor="text1"/>
        </w:rPr>
        <w:t xml:space="preserve">Asimismo, el artículo 24 de la Ley de la materia, señala que los Sujetos Obligados sólo proporcionarán la información pública que </w:t>
      </w:r>
      <w:r w:rsidRPr="00BF3B15">
        <w:rPr>
          <w:rFonts w:ascii="Palatino Linotype" w:hAnsi="Palatino Linotype" w:cs="Arial"/>
        </w:rPr>
        <w:t>generen</w:t>
      </w:r>
      <w:r w:rsidRPr="00BF3B15">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rsidR="00D856CB" w:rsidRPr="00BF3B15" w:rsidRDefault="00D856CB" w:rsidP="00D856CB">
      <w:pPr>
        <w:spacing w:before="240" w:after="240" w:line="360" w:lineRule="auto"/>
        <w:jc w:val="both"/>
        <w:rPr>
          <w:rFonts w:ascii="Palatino Linotype" w:hAnsi="Palatino Linotype" w:cs="Arial"/>
          <w:color w:val="000000" w:themeColor="text1"/>
        </w:rPr>
      </w:pPr>
      <w:r w:rsidRPr="00BF3B15">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BF3B15">
        <w:rPr>
          <w:rFonts w:ascii="Palatino Linotype" w:hAnsi="Palatino Linotype" w:cs="Arial"/>
        </w:rPr>
        <w:t xml:space="preserve">expedientes, reportes, estudios, actas, resoluciones, </w:t>
      </w:r>
      <w:r w:rsidRPr="00BF3B15">
        <w:rPr>
          <w:rFonts w:ascii="Palatino Linotype" w:hAnsi="Palatino Linotype" w:cs="Arial"/>
        </w:rPr>
        <w:lastRenderedPageBreak/>
        <w:t>oficios, correspondencia, acuerdos, directivas, directrices, circulares, contratos, convenios, instructivos, notas, memorandos, estadísticas o bien, cualquier otro registro que documente el ejercicio de las facultades, funciones y competencias de los Sujetos Obligados</w:t>
      </w:r>
      <w:r w:rsidRPr="00BF3B15">
        <w:rPr>
          <w:rFonts w:ascii="Palatino Linotype" w:hAnsi="Palatino Linotype" w:cs="Arial"/>
          <w:color w:val="000000" w:themeColor="text1"/>
        </w:rPr>
        <w:t xml:space="preserve">; los que </w:t>
      </w:r>
      <w:r w:rsidRPr="00BF3B15">
        <w:rPr>
          <w:rFonts w:ascii="Palatino Linotype" w:hAnsi="Palatino Linotype" w:cs="Arial"/>
        </w:rPr>
        <w:t>podrán estar en cualquier medio, sea escrito, impreso, sonoro, visual, electrónico, informático u holográfico</w:t>
      </w:r>
      <w:r w:rsidRPr="00BF3B15">
        <w:rPr>
          <w:rFonts w:ascii="Palatino Linotype" w:hAnsi="Palatino Linotype" w:cs="Arial"/>
          <w:color w:val="000000" w:themeColor="text1"/>
        </w:rPr>
        <w:t xml:space="preserve">, de conformidad con el artículo 3, fracción XI de la Ley de la materia, el cual dispone lo siguiente: </w:t>
      </w:r>
    </w:p>
    <w:p w:rsidR="00D856CB" w:rsidRPr="00BF3B15" w:rsidRDefault="00D856CB" w:rsidP="00D856CB">
      <w:pPr>
        <w:spacing w:before="120" w:after="120"/>
        <w:ind w:left="851" w:right="902"/>
        <w:jc w:val="both"/>
        <w:rPr>
          <w:rFonts w:ascii="Palatino Linotype" w:hAnsi="Palatino Linotype" w:cs="Arial"/>
          <w:i/>
          <w:color w:val="000000"/>
          <w:sz w:val="22"/>
          <w:szCs w:val="22"/>
        </w:rPr>
      </w:pPr>
      <w:r w:rsidRPr="00BF3B15">
        <w:rPr>
          <w:rFonts w:ascii="Palatino Linotype" w:hAnsi="Palatino Linotype" w:cs="Arial"/>
          <w:i/>
          <w:color w:val="000000"/>
          <w:sz w:val="22"/>
          <w:szCs w:val="22"/>
        </w:rPr>
        <w:t>“</w:t>
      </w:r>
      <w:r w:rsidRPr="00BF3B15">
        <w:rPr>
          <w:rFonts w:ascii="Palatino Linotype" w:hAnsi="Palatino Linotype" w:cs="Arial"/>
          <w:b/>
          <w:i/>
          <w:color w:val="000000"/>
          <w:sz w:val="22"/>
          <w:szCs w:val="22"/>
        </w:rPr>
        <w:t xml:space="preserve">Artículo 3. </w:t>
      </w:r>
      <w:r w:rsidRPr="00BF3B15">
        <w:rPr>
          <w:rFonts w:ascii="Palatino Linotype" w:hAnsi="Palatino Linotype" w:cs="Arial"/>
          <w:i/>
          <w:color w:val="000000"/>
          <w:sz w:val="22"/>
          <w:szCs w:val="22"/>
        </w:rPr>
        <w:t>Para los efectos de la presente Ley se entenderá por:</w:t>
      </w:r>
    </w:p>
    <w:p w:rsidR="00CC3D37" w:rsidRPr="00BF3B15" w:rsidRDefault="00CC3D37" w:rsidP="00D856CB">
      <w:pPr>
        <w:spacing w:before="120" w:after="120"/>
        <w:ind w:left="851" w:right="902"/>
        <w:jc w:val="both"/>
        <w:rPr>
          <w:rFonts w:ascii="Palatino Linotype" w:hAnsi="Palatino Linotype" w:cs="Arial"/>
          <w:b/>
          <w:i/>
          <w:color w:val="000000"/>
          <w:sz w:val="22"/>
          <w:szCs w:val="22"/>
        </w:rPr>
      </w:pPr>
    </w:p>
    <w:p w:rsidR="00D856CB" w:rsidRPr="00BF3B15" w:rsidRDefault="00D856CB" w:rsidP="00D856CB">
      <w:pPr>
        <w:spacing w:before="120" w:after="120"/>
        <w:ind w:left="851" w:right="902"/>
        <w:jc w:val="both"/>
        <w:rPr>
          <w:rFonts w:ascii="Palatino Linotype" w:hAnsi="Palatino Linotype" w:cs="Arial"/>
          <w:i/>
          <w:color w:val="000000"/>
          <w:sz w:val="22"/>
          <w:szCs w:val="22"/>
        </w:rPr>
      </w:pPr>
      <w:r w:rsidRPr="00BF3B15">
        <w:rPr>
          <w:rFonts w:ascii="Palatino Linotype" w:hAnsi="Palatino Linotype" w:cs="Arial"/>
          <w:b/>
          <w:i/>
          <w:color w:val="000000"/>
          <w:sz w:val="22"/>
          <w:szCs w:val="22"/>
        </w:rPr>
        <w:t>XI. Documento:</w:t>
      </w:r>
      <w:r w:rsidRPr="00BF3B15">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D856CB" w:rsidRPr="00BF3B15" w:rsidRDefault="00D856CB" w:rsidP="00D856CB">
      <w:pPr>
        <w:autoSpaceDE w:val="0"/>
        <w:autoSpaceDN w:val="0"/>
        <w:adjustRightInd w:val="0"/>
        <w:spacing w:before="240" w:after="240" w:line="360" w:lineRule="auto"/>
        <w:jc w:val="both"/>
        <w:rPr>
          <w:rFonts w:ascii="Palatino Linotype" w:hAnsi="Palatino Linotype" w:cs="Arial"/>
        </w:rPr>
      </w:pPr>
      <w:r w:rsidRPr="00BF3B15">
        <w:rPr>
          <w:rFonts w:ascii="Palatino Linotype" w:hAnsi="Palatino Linotype" w:cs="Arial"/>
        </w:rPr>
        <w:t xml:space="preserve">Siendo aplicable el criterio </w:t>
      </w:r>
      <w:r w:rsidRPr="00BF3B15">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BF3B15">
        <w:rPr>
          <w:rFonts w:ascii="Palatino Linotype" w:hAnsi="Palatino Linotype" w:cs="Arial"/>
        </w:rPr>
        <w:t>cuyo rubro y texto dispone:</w:t>
      </w:r>
    </w:p>
    <w:p w:rsidR="00D856CB" w:rsidRPr="00BF3B15" w:rsidRDefault="00D856CB" w:rsidP="00D856CB">
      <w:pPr>
        <w:spacing w:before="120" w:after="120"/>
        <w:ind w:left="851" w:right="902"/>
        <w:jc w:val="center"/>
        <w:rPr>
          <w:rFonts w:ascii="Palatino Linotype" w:hAnsi="Palatino Linotype" w:cs="Arial"/>
          <w:b/>
          <w:i/>
          <w:sz w:val="22"/>
          <w:szCs w:val="22"/>
          <w:lang w:eastAsia="es-MX"/>
        </w:rPr>
      </w:pPr>
      <w:r w:rsidRPr="00BF3B15">
        <w:rPr>
          <w:rFonts w:ascii="Palatino Linotype" w:hAnsi="Palatino Linotype" w:cs="Arial"/>
          <w:lang w:eastAsia="es-MX"/>
        </w:rPr>
        <w:t>“</w:t>
      </w:r>
      <w:r w:rsidRPr="00BF3B15">
        <w:rPr>
          <w:rFonts w:ascii="Palatino Linotype" w:hAnsi="Palatino Linotype" w:cs="Arial"/>
          <w:b/>
          <w:i/>
          <w:sz w:val="22"/>
          <w:szCs w:val="22"/>
          <w:lang w:eastAsia="es-MX"/>
        </w:rPr>
        <w:t>CRITERIO 0002-11</w:t>
      </w:r>
    </w:p>
    <w:p w:rsidR="00D856CB" w:rsidRPr="00BF3B15" w:rsidRDefault="00D856CB" w:rsidP="00D856CB">
      <w:pPr>
        <w:spacing w:before="120" w:after="12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 xml:space="preserve">INFORMACIÓN PÚBLICA, CONCEPTO DE, EN MATERIA DE TRANSPARENCIA. INTERPRETACIÓN SISTEMÁTICA DE LOS ARTÍCULOS 2°, FRACCIÓN </w:t>
      </w:r>
      <w:r w:rsidRPr="00BF3B15">
        <w:rPr>
          <w:rFonts w:ascii="Palatino Linotype" w:hAnsi="Palatino Linotype" w:cs="Arial"/>
          <w:b/>
          <w:bCs/>
          <w:i/>
          <w:sz w:val="22"/>
          <w:szCs w:val="22"/>
          <w:lang w:eastAsia="es-MX"/>
        </w:rPr>
        <w:t xml:space="preserve">V, XV, Y XVI, </w:t>
      </w:r>
      <w:r w:rsidRPr="00BF3B15">
        <w:rPr>
          <w:rFonts w:ascii="Palatino Linotype" w:hAnsi="Palatino Linotype" w:cs="Arial"/>
          <w:b/>
          <w:i/>
          <w:sz w:val="22"/>
          <w:szCs w:val="22"/>
          <w:lang w:eastAsia="es-MX"/>
        </w:rPr>
        <w:t>3°, 4°, 11 Y 41.</w:t>
      </w:r>
      <w:r w:rsidRPr="00BF3B15">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D856CB" w:rsidRPr="00BF3B15" w:rsidRDefault="00D856CB" w:rsidP="00D856CB">
      <w:pPr>
        <w:spacing w:before="120" w:after="12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lastRenderedPageBreak/>
        <w:t>En consecuencia el acceso a la información se refiere a que se cumplan cualquiera de los siguientes tres supuestos:</w:t>
      </w:r>
    </w:p>
    <w:p w:rsidR="00D856CB" w:rsidRPr="00BF3B15" w:rsidRDefault="00D856CB" w:rsidP="00D856CB">
      <w:pPr>
        <w:spacing w:before="120" w:after="120"/>
        <w:ind w:left="851" w:right="902"/>
        <w:jc w:val="both"/>
        <w:rPr>
          <w:rFonts w:ascii="Palatino Linotype" w:hAnsi="Palatino Linotype" w:cs="Arial"/>
          <w:b/>
          <w:i/>
          <w:sz w:val="22"/>
          <w:szCs w:val="22"/>
          <w:lang w:eastAsia="es-MX"/>
        </w:rPr>
      </w:pPr>
      <w:r w:rsidRPr="00BF3B15">
        <w:rPr>
          <w:rFonts w:ascii="Palatino Linotype" w:hAnsi="Palatino Linotype" w:cs="Arial"/>
          <w:b/>
          <w:i/>
          <w:sz w:val="22"/>
          <w:szCs w:val="22"/>
          <w:lang w:eastAsia="es-MX"/>
        </w:rPr>
        <w:t>1) Que se trate de información registrada en cualquier soporte documental, que en ejercicio de las atribuciones conferidas, sea generada por los Sujetos Obligados;</w:t>
      </w:r>
    </w:p>
    <w:p w:rsidR="00D856CB" w:rsidRPr="00BF3B15" w:rsidRDefault="00D856CB" w:rsidP="00D856CB">
      <w:pPr>
        <w:spacing w:before="120" w:after="12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2) Que se trate de </w:t>
      </w:r>
      <w:r w:rsidRPr="00BF3B15">
        <w:rPr>
          <w:rFonts w:ascii="Palatino Linotype" w:hAnsi="Palatino Linotype" w:cs="Arial"/>
          <w:b/>
          <w:i/>
          <w:sz w:val="22"/>
          <w:szCs w:val="22"/>
          <w:lang w:eastAsia="es-MX"/>
        </w:rPr>
        <w:t>información</w:t>
      </w:r>
      <w:r w:rsidRPr="00BF3B15">
        <w:rPr>
          <w:rFonts w:ascii="Palatino Linotype" w:hAnsi="Palatino Linotype" w:cs="Arial"/>
          <w:i/>
          <w:sz w:val="22"/>
          <w:szCs w:val="22"/>
          <w:lang w:eastAsia="es-MX"/>
        </w:rPr>
        <w:t xml:space="preserve"> registrada en cualquier soporte documental, que en ejercicio de las atribuciones conferidas, sea administrada por los Sujetos Obligados, y</w:t>
      </w:r>
    </w:p>
    <w:p w:rsidR="00D856CB" w:rsidRPr="00BF3B15" w:rsidRDefault="00D856CB" w:rsidP="00D856CB">
      <w:pPr>
        <w:spacing w:before="120" w:after="12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D856CB" w:rsidRPr="00BF3B15" w:rsidRDefault="00D856CB" w:rsidP="00D856CB">
      <w:pPr>
        <w:spacing w:before="120" w:after="120"/>
        <w:ind w:left="851" w:right="902"/>
        <w:jc w:val="both"/>
        <w:rPr>
          <w:rFonts w:ascii="Palatino Linotype" w:hAnsi="Palatino Linotype" w:cs="Arial"/>
          <w:sz w:val="22"/>
          <w:szCs w:val="22"/>
          <w:lang w:eastAsia="es-MX"/>
        </w:rPr>
      </w:pPr>
      <w:r w:rsidRPr="00BF3B15">
        <w:rPr>
          <w:rFonts w:ascii="Palatino Linotype" w:hAnsi="Palatino Linotype" w:cs="Arial"/>
          <w:sz w:val="22"/>
          <w:szCs w:val="22"/>
          <w:lang w:eastAsia="es-MX"/>
        </w:rPr>
        <w:t>(Énfasis Añadido)</w:t>
      </w:r>
    </w:p>
    <w:p w:rsidR="00D856CB" w:rsidRPr="00BF3B15" w:rsidRDefault="00D856CB" w:rsidP="00D856CB">
      <w:pPr>
        <w:spacing w:before="240" w:after="240" w:line="360" w:lineRule="auto"/>
        <w:jc w:val="both"/>
        <w:rPr>
          <w:rFonts w:ascii="Palatino Linotype" w:eastAsia="Calibri" w:hAnsi="Palatino Linotype"/>
        </w:rPr>
      </w:pPr>
      <w:r w:rsidRPr="00BF3B15">
        <w:rPr>
          <w:rFonts w:ascii="Palatino Linotype" w:eastAsia="Calibri" w:hAnsi="Palatino Linotype"/>
        </w:rPr>
        <w:t>Es así que, se concluye que la información requerida por el particular,</w:t>
      </w:r>
      <w:r w:rsidRPr="00BF3B15">
        <w:rPr>
          <w:rFonts w:ascii="Palatino Linotype" w:eastAsia="Calibri" w:hAnsi="Palatino Linotype"/>
          <w:b/>
        </w:rPr>
        <w:t xml:space="preserve"> </w:t>
      </w:r>
      <w:r w:rsidRPr="00BF3B15">
        <w:rPr>
          <w:rFonts w:ascii="Palatino Linotype" w:eastAsia="Calibri" w:hAnsi="Palatino Linotype"/>
        </w:rPr>
        <w:t xml:space="preserve">se trata de información de carácter público, toda vez que la difusión de las mismas favorece la rendición de cuentas y con ello transparenta la forma en que se administran y aplican los recursos públicos, motivo por el cual no puede considerarse como información clasificada como confidencial. </w:t>
      </w:r>
    </w:p>
    <w:p w:rsidR="0059709C" w:rsidRPr="00BF3B15" w:rsidRDefault="0059709C" w:rsidP="006A7FFD">
      <w:pPr>
        <w:spacing w:before="240" w:after="240" w:line="360" w:lineRule="auto"/>
        <w:jc w:val="both"/>
        <w:rPr>
          <w:rStyle w:val="apple-style-span"/>
          <w:rFonts w:ascii="Palatino Linotype" w:hAnsi="Palatino Linotype" w:cs="Arial"/>
          <w:bCs/>
          <w:color w:val="000000"/>
        </w:rPr>
      </w:pPr>
      <w:r w:rsidRPr="00BF3B15">
        <w:rPr>
          <w:rFonts w:ascii="Palatino Linotype" w:hAnsi="Palatino Linotype" w:cs="Arial"/>
        </w:rPr>
        <w:t xml:space="preserve">Expuesto lo anterior, </w:t>
      </w:r>
      <w:r w:rsidRPr="00BF3B15">
        <w:rPr>
          <w:rFonts w:ascii="Palatino Linotype" w:hAnsi="Palatino Linotype"/>
          <w:color w:val="000000"/>
        </w:rPr>
        <w:t xml:space="preserve">conviene </w:t>
      </w:r>
      <w:r w:rsidR="006A7FFD" w:rsidRPr="00BF3B15">
        <w:rPr>
          <w:rFonts w:ascii="Palatino Linotype" w:hAnsi="Palatino Linotype"/>
          <w:color w:val="000000"/>
        </w:rPr>
        <w:t xml:space="preserve">recordar que </w:t>
      </w:r>
      <w:r w:rsidRPr="00BF3B15">
        <w:rPr>
          <w:rFonts w:ascii="Palatino Linotype" w:hAnsi="Palatino Linotype"/>
          <w:color w:val="000000"/>
        </w:rPr>
        <w:t xml:space="preserve">los Municipios del Estado de México, son Sujetos de Fiscalización de conformidad con el numeral 4, fracción II de </w:t>
      </w:r>
      <w:r w:rsidRPr="00BF3B15">
        <w:rPr>
          <w:rStyle w:val="apple-style-span"/>
          <w:rFonts w:ascii="Palatino Linotype" w:hAnsi="Palatino Linotype" w:cs="Arial"/>
          <w:color w:val="000000"/>
        </w:rPr>
        <w:t>Ley de Fiscalización Superior del Estado de México</w:t>
      </w:r>
      <w:r w:rsidRPr="00BF3B15">
        <w:rPr>
          <w:rStyle w:val="Refdenotaalpie"/>
          <w:rFonts w:ascii="Palatino Linotype" w:hAnsi="Palatino Linotype" w:cs="Arial"/>
          <w:color w:val="000000"/>
        </w:rPr>
        <w:footnoteReference w:id="2"/>
      </w:r>
      <w:r w:rsidRPr="00BF3B15">
        <w:rPr>
          <w:rStyle w:val="apple-style-span"/>
          <w:rFonts w:ascii="Palatino Linotype" w:hAnsi="Palatino Linotype" w:cs="Arial"/>
          <w:color w:val="000000"/>
        </w:rPr>
        <w:t>; razón por la cual, el Órgano Superior de Fiscalización de</w:t>
      </w:r>
      <w:r w:rsidR="00811179" w:rsidRPr="00BF3B15">
        <w:rPr>
          <w:rStyle w:val="apple-style-span"/>
          <w:rFonts w:ascii="Palatino Linotype" w:hAnsi="Palatino Linotype" w:cs="Arial"/>
          <w:color w:val="000000"/>
        </w:rPr>
        <w:t>l Estado de México (OSFEM)</w:t>
      </w:r>
      <w:r w:rsidRPr="00BF3B15">
        <w:rPr>
          <w:rStyle w:val="apple-style-span"/>
          <w:rFonts w:ascii="Palatino Linotype" w:hAnsi="Palatino Linotype" w:cs="Arial"/>
          <w:color w:val="000000"/>
        </w:rPr>
        <w:t xml:space="preserve">, emite los </w:t>
      </w:r>
      <w:r w:rsidRPr="00BF3B15">
        <w:rPr>
          <w:rStyle w:val="apple-style-span"/>
          <w:rFonts w:ascii="Palatino Linotype" w:hAnsi="Palatino Linotype" w:cs="Arial"/>
          <w:b/>
          <w:color w:val="000000"/>
        </w:rPr>
        <w:t>Lineamientos para la Integración del Informe Mensual</w:t>
      </w:r>
      <w:r w:rsidRPr="00BF3B15">
        <w:rPr>
          <w:rStyle w:val="apple-style-span"/>
          <w:rFonts w:ascii="Palatino Linotype" w:hAnsi="Palatino Linotype" w:cs="Arial"/>
          <w:color w:val="000000"/>
        </w:rPr>
        <w:t xml:space="preserve">, en términos la fracción XI del artículo 8 de la Ley de Fiscalización Superior del Estado de México, que señala: </w:t>
      </w:r>
    </w:p>
    <w:p w:rsidR="0059709C" w:rsidRPr="00BF3B15" w:rsidRDefault="0059709C" w:rsidP="0059709C">
      <w:pPr>
        <w:autoSpaceDE w:val="0"/>
        <w:autoSpaceDN w:val="0"/>
        <w:adjustRightInd w:val="0"/>
        <w:ind w:left="851" w:right="899"/>
        <w:jc w:val="both"/>
        <w:rPr>
          <w:rFonts w:ascii="Palatino Linotype" w:hAnsi="Palatino Linotype" w:cs="Arial"/>
          <w:i/>
          <w:sz w:val="22"/>
          <w:szCs w:val="22"/>
        </w:rPr>
      </w:pPr>
      <w:r w:rsidRPr="00BF3B15">
        <w:rPr>
          <w:rFonts w:ascii="Palatino Linotype" w:hAnsi="Palatino Linotype" w:cs="Arial"/>
          <w:b/>
          <w:bCs/>
          <w:i/>
          <w:sz w:val="22"/>
          <w:szCs w:val="22"/>
        </w:rPr>
        <w:t xml:space="preserve">“Artículo 8. </w:t>
      </w:r>
      <w:r w:rsidRPr="00BF3B15">
        <w:rPr>
          <w:rFonts w:ascii="Palatino Linotype" w:hAnsi="Palatino Linotype" w:cs="Arial"/>
          <w:i/>
          <w:sz w:val="22"/>
          <w:szCs w:val="22"/>
        </w:rPr>
        <w:t>El Órgano Superior tendrá las siguientes atribuciones:</w:t>
      </w:r>
    </w:p>
    <w:p w:rsidR="0059709C" w:rsidRPr="00BF3B15" w:rsidRDefault="0059709C" w:rsidP="0059709C">
      <w:pPr>
        <w:autoSpaceDE w:val="0"/>
        <w:autoSpaceDN w:val="0"/>
        <w:adjustRightInd w:val="0"/>
        <w:ind w:left="851" w:right="899"/>
        <w:jc w:val="both"/>
        <w:rPr>
          <w:rFonts w:ascii="Palatino Linotype" w:hAnsi="Palatino Linotype" w:cs="Arial"/>
          <w:i/>
          <w:sz w:val="22"/>
          <w:szCs w:val="22"/>
        </w:rPr>
      </w:pPr>
      <w:r w:rsidRPr="00BF3B15">
        <w:rPr>
          <w:rFonts w:ascii="Palatino Linotype" w:hAnsi="Palatino Linotype" w:cs="Arial"/>
          <w:i/>
          <w:sz w:val="22"/>
          <w:szCs w:val="22"/>
        </w:rPr>
        <w:t>…</w:t>
      </w:r>
    </w:p>
    <w:p w:rsidR="0059709C" w:rsidRPr="00BF3B15" w:rsidRDefault="0059709C" w:rsidP="0059709C">
      <w:pPr>
        <w:autoSpaceDE w:val="0"/>
        <w:autoSpaceDN w:val="0"/>
        <w:adjustRightInd w:val="0"/>
        <w:ind w:left="851" w:right="899"/>
        <w:jc w:val="both"/>
        <w:rPr>
          <w:rStyle w:val="apple-style-span"/>
          <w:rFonts w:ascii="Palatino Linotype" w:hAnsi="Palatino Linotype" w:cs="Arial"/>
          <w:bCs/>
          <w:i/>
          <w:color w:val="000000"/>
          <w:sz w:val="22"/>
          <w:szCs w:val="22"/>
        </w:rPr>
      </w:pPr>
      <w:r w:rsidRPr="00BF3B15">
        <w:rPr>
          <w:rFonts w:ascii="Palatino Linotype" w:hAnsi="Palatino Linotype" w:cs="Arial"/>
          <w:b/>
          <w:bCs/>
          <w:i/>
          <w:sz w:val="22"/>
          <w:szCs w:val="22"/>
        </w:rPr>
        <w:lastRenderedPageBreak/>
        <w:t xml:space="preserve">XI. </w:t>
      </w:r>
      <w:r w:rsidRPr="00BF3B15">
        <w:rPr>
          <w:rFonts w:ascii="Palatino Linotype" w:hAnsi="Palatino Linotype" w:cs="Arial"/>
          <w:i/>
          <w:sz w:val="22"/>
          <w:szCs w:val="22"/>
        </w:rPr>
        <w:t>Establecer los lineamientos, criterios, procedimientos, métodos y sistemas para las acciones de control y evaluación, necesarios para la fiscalización de las cuentas públicas y los informes trimestrales;</w:t>
      </w:r>
      <w:r w:rsidRPr="00BF3B15">
        <w:rPr>
          <w:rStyle w:val="apple-style-span"/>
          <w:rFonts w:ascii="Palatino Linotype" w:hAnsi="Palatino Linotype" w:cs="Arial"/>
          <w:color w:val="000000"/>
          <w:sz w:val="22"/>
          <w:szCs w:val="22"/>
        </w:rPr>
        <w:t>…” (Sic)</w:t>
      </w:r>
    </w:p>
    <w:p w:rsidR="0059709C" w:rsidRPr="00BF3B15" w:rsidRDefault="0059709C" w:rsidP="0059709C">
      <w:pPr>
        <w:spacing w:before="100" w:beforeAutospacing="1" w:after="100" w:afterAutospacing="1" w:line="360" w:lineRule="auto"/>
        <w:jc w:val="both"/>
        <w:rPr>
          <w:rFonts w:ascii="Palatino Linotype" w:hAnsi="Palatino Linotype"/>
        </w:rPr>
      </w:pPr>
      <w:r w:rsidRPr="00BF3B15">
        <w:rPr>
          <w:rFonts w:ascii="Palatino Linotype" w:hAnsi="Palatino Linotype"/>
        </w:rPr>
        <w:t xml:space="preserve">De esta forma, el </w:t>
      </w:r>
      <w:r w:rsidR="00811179" w:rsidRPr="00BF3B15">
        <w:rPr>
          <w:rFonts w:ascii="Palatino Linotype" w:hAnsi="Palatino Linotype"/>
        </w:rPr>
        <w:t>OSFEM,</w:t>
      </w:r>
      <w:r w:rsidRPr="00BF3B15">
        <w:rPr>
          <w:rFonts w:ascii="Palatino Linotype" w:hAnsi="Palatino Linotype"/>
        </w:rPr>
        <w:t xml:space="preserve"> emite anualmente dichos Lineamientos para definir los criterios, formatos y documentación necesaria para pre</w:t>
      </w:r>
      <w:r w:rsidR="006A7FFD" w:rsidRPr="00BF3B15">
        <w:rPr>
          <w:rFonts w:ascii="Palatino Linotype" w:hAnsi="Palatino Linotype"/>
        </w:rPr>
        <w:t xml:space="preserve">sentar los informes mensuales, </w:t>
      </w:r>
      <w:r w:rsidRPr="00BF3B15">
        <w:rPr>
          <w:rFonts w:ascii="Palatino Linotype" w:hAnsi="Palatino Linotype"/>
        </w:rPr>
        <w:t>d</w:t>
      </w:r>
      <w:r w:rsidR="006A7FFD" w:rsidRPr="00BF3B15">
        <w:rPr>
          <w:rFonts w:ascii="Palatino Linotype" w:hAnsi="Palatino Linotype"/>
        </w:rPr>
        <w:t xml:space="preserve">entro de los cuales destaca </w:t>
      </w:r>
      <w:r w:rsidRPr="00BF3B15">
        <w:rPr>
          <w:rFonts w:ascii="Palatino Linotype" w:hAnsi="Palatino Linotype"/>
        </w:rPr>
        <w:t>el Disco 4, rela</w:t>
      </w:r>
      <w:r w:rsidR="006A7FFD" w:rsidRPr="00BF3B15">
        <w:rPr>
          <w:rFonts w:ascii="Palatino Linotype" w:hAnsi="Palatino Linotype"/>
        </w:rPr>
        <w:t>tivo a la información de nómina; ya que, dichos l</w:t>
      </w:r>
      <w:r w:rsidRPr="00BF3B15">
        <w:rPr>
          <w:rFonts w:ascii="Palatino Linotype" w:hAnsi="Palatino Linotype"/>
        </w:rPr>
        <w:t>ineamientos son de observancia general para todos los servidores públicos de las entidades fiscalizables que desempeñen un empleo, cargo o comisión, de cualquier naturaleza en la administración pública municipal y que manejen recursos públicos como lo son los municipios; en atención a ello, el informe mensual deberá ser presentado al Órgano Superior de Fiscalización dentro de los 20 días posteriores al término del mes correspondiente de acuerdo a lo establecido en el artículo 32 de la Ley de Fiscalización Superior del Estado de México, que a la letra dice:</w:t>
      </w:r>
    </w:p>
    <w:p w:rsidR="0059709C" w:rsidRPr="00BF3B15" w:rsidRDefault="0059709C" w:rsidP="0059709C">
      <w:pPr>
        <w:ind w:left="851" w:right="760"/>
        <w:jc w:val="both"/>
        <w:rPr>
          <w:rFonts w:ascii="Palatino Linotype" w:hAnsi="Palatino Linotype"/>
          <w:i/>
          <w:sz w:val="22"/>
          <w:szCs w:val="22"/>
        </w:rPr>
      </w:pPr>
      <w:r w:rsidRPr="00BF3B15">
        <w:rPr>
          <w:rFonts w:ascii="Palatino Linotype" w:hAnsi="Palatino Linotype"/>
          <w:b/>
          <w:i/>
          <w:sz w:val="22"/>
          <w:szCs w:val="22"/>
        </w:rPr>
        <w:t>“Artículo 32.-</w:t>
      </w:r>
      <w:r w:rsidRPr="00BF3B15">
        <w:rPr>
          <w:rFonts w:ascii="Palatino Linotype" w:hAnsi="Palatino Linotype"/>
          <w:i/>
          <w:sz w:val="22"/>
          <w:szCs w:val="22"/>
        </w:rPr>
        <w:t xml:space="preserve"> El Gobernador del Estado, por conducto del titular de la dependencia competente, presentará a la Legislatura la cuenta pública del Gobierno del Estado del ejercicio fiscal inmediato anterior, a más tardar el quince de mayo de cada año.</w:t>
      </w:r>
    </w:p>
    <w:p w:rsidR="0059709C" w:rsidRPr="00BF3B15" w:rsidRDefault="0059709C" w:rsidP="0059709C">
      <w:pPr>
        <w:ind w:left="851" w:right="760"/>
        <w:jc w:val="both"/>
        <w:rPr>
          <w:rFonts w:ascii="Palatino Linotype" w:hAnsi="Palatino Linotype"/>
          <w:b/>
          <w:i/>
          <w:sz w:val="22"/>
          <w:szCs w:val="22"/>
        </w:rPr>
      </w:pPr>
    </w:p>
    <w:p w:rsidR="0059709C" w:rsidRPr="00BF3B15" w:rsidRDefault="0059709C" w:rsidP="0059709C">
      <w:pPr>
        <w:ind w:left="851" w:right="760"/>
        <w:jc w:val="both"/>
        <w:rPr>
          <w:rFonts w:ascii="Palatino Linotype" w:hAnsi="Palatino Linotype"/>
          <w:b/>
          <w:i/>
          <w:sz w:val="22"/>
          <w:szCs w:val="22"/>
        </w:rPr>
      </w:pPr>
      <w:r w:rsidRPr="00BF3B15">
        <w:rPr>
          <w:rFonts w:ascii="Palatino Linotype" w:hAnsi="Palatino Linotype"/>
          <w:b/>
          <w:i/>
          <w:sz w:val="22"/>
          <w:szCs w:val="22"/>
        </w:rPr>
        <w:t>Los Presidentes Municipales presentarán a la Legislatura las cuentas públicas anuales</w:t>
      </w:r>
      <w:r w:rsidRPr="00BF3B15">
        <w:rPr>
          <w:rFonts w:ascii="Palatino Linotype" w:hAnsi="Palatino Linotype"/>
          <w:i/>
          <w:sz w:val="22"/>
          <w:szCs w:val="22"/>
        </w:rPr>
        <w:t xml:space="preserve"> de sus respectivos municipios, del ejercicio fiscal inmediato anterior, </w:t>
      </w:r>
      <w:r w:rsidRPr="00BF3B15">
        <w:rPr>
          <w:rFonts w:ascii="Palatino Linotype" w:hAnsi="Palatino Linotype"/>
          <w:b/>
          <w:i/>
          <w:sz w:val="22"/>
          <w:szCs w:val="22"/>
        </w:rPr>
        <w:t>dentro de los quince primeros días del mes de marzo</w:t>
      </w:r>
      <w:r w:rsidRPr="00BF3B15">
        <w:rPr>
          <w:rFonts w:ascii="Palatino Linotype" w:hAnsi="Palatino Linotype"/>
          <w:i/>
          <w:sz w:val="22"/>
          <w:szCs w:val="22"/>
        </w:rPr>
        <w:t xml:space="preserve"> de cada año; </w:t>
      </w:r>
      <w:r w:rsidRPr="00BF3B15">
        <w:rPr>
          <w:rFonts w:ascii="Palatino Linotype" w:hAnsi="Palatino Linotype"/>
          <w:b/>
          <w:i/>
          <w:sz w:val="22"/>
          <w:szCs w:val="22"/>
        </w:rPr>
        <w:t>asimism</w:t>
      </w:r>
      <w:r w:rsidRPr="00BF3B15">
        <w:rPr>
          <w:rFonts w:ascii="Palatino Linotype" w:hAnsi="Palatino Linotype"/>
          <w:i/>
          <w:sz w:val="22"/>
          <w:szCs w:val="22"/>
        </w:rPr>
        <w:t xml:space="preserve">o, </w:t>
      </w:r>
      <w:r w:rsidRPr="00BF3B15">
        <w:rPr>
          <w:rFonts w:ascii="Palatino Linotype" w:hAnsi="Palatino Linotype"/>
          <w:b/>
          <w:i/>
          <w:sz w:val="22"/>
          <w:szCs w:val="22"/>
        </w:rPr>
        <w:t>los informes mensuales</w:t>
      </w:r>
      <w:r w:rsidRPr="00BF3B15">
        <w:rPr>
          <w:rFonts w:ascii="Palatino Linotype" w:hAnsi="Palatino Linotype"/>
          <w:i/>
          <w:sz w:val="22"/>
          <w:szCs w:val="22"/>
        </w:rPr>
        <w:t xml:space="preserve"> los deberán presentar </w:t>
      </w:r>
      <w:r w:rsidRPr="00BF3B15">
        <w:rPr>
          <w:rFonts w:ascii="Palatino Linotype" w:hAnsi="Palatino Linotype"/>
          <w:b/>
          <w:i/>
          <w:sz w:val="22"/>
          <w:szCs w:val="22"/>
        </w:rPr>
        <w:t>dentro de los veinte días posteriores al término del mes correspondiente.”</w:t>
      </w:r>
    </w:p>
    <w:p w:rsidR="0059709C" w:rsidRPr="00BF3B15" w:rsidRDefault="0059709C" w:rsidP="0059709C">
      <w:pPr>
        <w:ind w:left="851" w:right="760"/>
        <w:jc w:val="both"/>
        <w:rPr>
          <w:rFonts w:ascii="Palatino Linotype" w:hAnsi="Palatino Linotype"/>
          <w:i/>
          <w:sz w:val="22"/>
          <w:szCs w:val="22"/>
        </w:rPr>
      </w:pPr>
      <w:r w:rsidRPr="00BF3B15">
        <w:rPr>
          <w:rFonts w:ascii="Palatino Linotype" w:hAnsi="Palatino Linotype"/>
          <w:i/>
          <w:sz w:val="22"/>
          <w:szCs w:val="22"/>
        </w:rPr>
        <w:t>(Énfasis añadido)</w:t>
      </w:r>
    </w:p>
    <w:p w:rsidR="0059709C" w:rsidRPr="00BF3B15" w:rsidRDefault="0059709C" w:rsidP="0059709C">
      <w:pPr>
        <w:spacing w:before="100" w:beforeAutospacing="1" w:after="100" w:afterAutospacing="1" w:line="360" w:lineRule="auto"/>
        <w:ind w:right="-91"/>
        <w:jc w:val="both"/>
        <w:rPr>
          <w:rFonts w:ascii="Palatino Linotype" w:hAnsi="Palatino Linotype"/>
          <w:color w:val="000000"/>
          <w:lang w:val="es-ES"/>
        </w:rPr>
      </w:pPr>
      <w:r w:rsidRPr="00BF3B15">
        <w:rPr>
          <w:rFonts w:ascii="Palatino Linotype" w:hAnsi="Palatino Linotype"/>
        </w:rPr>
        <w:t xml:space="preserve">Por ello, la información </w:t>
      </w:r>
      <w:r w:rsidRPr="00BF3B15">
        <w:rPr>
          <w:rFonts w:ascii="Palatino Linotype" w:hAnsi="Palatino Linotype"/>
          <w:b/>
        </w:rPr>
        <w:t>documental comprobatoria</w:t>
      </w:r>
      <w:r w:rsidRPr="00BF3B15">
        <w:rPr>
          <w:rFonts w:ascii="Palatino Linotype" w:hAnsi="Palatino Linotype"/>
        </w:rPr>
        <w:t xml:space="preserve">, </w:t>
      </w:r>
      <w:r w:rsidRPr="00BF3B15">
        <w:rPr>
          <w:rFonts w:ascii="Palatino Linotype" w:hAnsi="Palatino Linotype"/>
          <w:b/>
        </w:rPr>
        <w:t>deberá conservarse en los archivos de la entidad fiscalizada –Municipio</w:t>
      </w:r>
      <w:r w:rsidRPr="00BF3B15">
        <w:rPr>
          <w:rFonts w:ascii="Palatino Linotype" w:hAnsi="Palatino Linotype"/>
        </w:rPr>
        <w:t xml:space="preserve">-, en original y debidamente integrada en términos de los lineamientos de referencia, pues son susceptibles de revisión directa por el </w:t>
      </w:r>
      <w:r w:rsidRPr="00BF3B15">
        <w:rPr>
          <w:rFonts w:ascii="Palatino Linotype" w:hAnsi="Palatino Linotype"/>
          <w:color w:val="000000"/>
          <w:lang w:val="es-ES"/>
        </w:rPr>
        <w:t>OSFEM</w:t>
      </w:r>
      <w:r w:rsidRPr="00BF3B15">
        <w:rPr>
          <w:rFonts w:ascii="Palatino Linotype" w:hAnsi="Palatino Linotype"/>
        </w:rPr>
        <w:t xml:space="preserve">; así que, </w:t>
      </w:r>
      <w:r w:rsidRPr="00BF3B15">
        <w:rPr>
          <w:rFonts w:ascii="Palatino Linotype" w:hAnsi="Palatino Linotype"/>
          <w:color w:val="000000"/>
          <w:lang w:val="es-ES"/>
        </w:rPr>
        <w:t xml:space="preserve">para la Integración del Informe Mensual 2018, dichos lineamientos se encuentran visibles en la página oficial del OSFEM en el sitio de internet </w:t>
      </w:r>
      <w:r w:rsidRPr="00BF3B15">
        <w:rPr>
          <w:rFonts w:ascii="Palatino Linotype" w:hAnsi="Palatino Linotype"/>
          <w:i/>
          <w:spacing w:val="-14"/>
          <w:lang w:val="es-ES"/>
        </w:rPr>
        <w:lastRenderedPageBreak/>
        <w:t>https://www.osfem.gob.mx/04_Normatividad/doc/Normatividad/2018/03_LinElabyPresInfoMenMpal18.pdf</w:t>
      </w:r>
      <w:r w:rsidRPr="00BF3B15">
        <w:rPr>
          <w:rFonts w:ascii="Palatino Linotype" w:hAnsi="Palatino Linotype"/>
          <w:color w:val="000000"/>
          <w:lang w:val="es-ES"/>
        </w:rPr>
        <w:t xml:space="preserve"> destacando que dentro de los informes mensuales que </w:t>
      </w:r>
      <w:r w:rsidRPr="00BF3B15">
        <w:rPr>
          <w:rFonts w:ascii="Palatino Linotype" w:hAnsi="Palatino Linotype"/>
          <w:b/>
          <w:color w:val="000000"/>
          <w:lang w:val="es-ES"/>
        </w:rPr>
        <w:t xml:space="preserve">EL SUJETO OBLIGADO </w:t>
      </w:r>
      <w:r w:rsidRPr="00BF3B15">
        <w:rPr>
          <w:rFonts w:ascii="Palatino Linotype" w:hAnsi="Palatino Linotype"/>
          <w:color w:val="000000"/>
          <w:lang w:val="es-ES"/>
        </w:rPr>
        <w:t>tiene la obligación de rendir, se contempla precisamente la presentación de la Informació</w:t>
      </w:r>
      <w:r w:rsidR="009238AA" w:rsidRPr="00BF3B15">
        <w:rPr>
          <w:rFonts w:ascii="Palatino Linotype" w:hAnsi="Palatino Linotype"/>
          <w:color w:val="000000"/>
          <w:lang w:val="es-ES"/>
        </w:rPr>
        <w:t>n referente a la Nómina y a los Comprobantes Fiscales Digitales por Internet</w:t>
      </w:r>
      <w:r w:rsidRPr="00BF3B15">
        <w:rPr>
          <w:rFonts w:ascii="Palatino Linotype" w:hAnsi="Palatino Linotype"/>
          <w:color w:val="000000"/>
          <w:lang w:val="es-ES"/>
        </w:rPr>
        <w:t xml:space="preserve">, tal y como se muestra en las imágenes siguientes: </w:t>
      </w:r>
    </w:p>
    <w:p w:rsidR="0059709C" w:rsidRPr="00BF3B15" w:rsidRDefault="009238AA" w:rsidP="009238AA">
      <w:pPr>
        <w:spacing w:before="240" w:after="240" w:line="360" w:lineRule="auto"/>
        <w:jc w:val="center"/>
        <w:rPr>
          <w:rFonts w:ascii="Palatino Linotype" w:hAnsi="Palatino Linotype" w:cs="Arial"/>
        </w:rPr>
      </w:pPr>
      <w:r w:rsidRPr="00BF3B15">
        <w:rPr>
          <w:noProof/>
          <w:lang w:eastAsia="es-MX"/>
        </w:rPr>
        <mc:AlternateContent>
          <mc:Choice Requires="wps">
            <w:drawing>
              <wp:anchor distT="0" distB="0" distL="114300" distR="114300" simplePos="0" relativeHeight="251658240" behindDoc="0" locked="0" layoutInCell="1" allowOverlap="1">
                <wp:simplePos x="0" y="0"/>
                <wp:positionH relativeFrom="column">
                  <wp:posOffset>882856</wp:posOffset>
                </wp:positionH>
                <wp:positionV relativeFrom="paragraph">
                  <wp:posOffset>1209175</wp:posOffset>
                </wp:positionV>
                <wp:extent cx="2025144" cy="235480"/>
                <wp:effectExtent l="19050" t="19050" r="13335" b="12700"/>
                <wp:wrapNone/>
                <wp:docPr id="11" name="Rectángulo 11"/>
                <wp:cNvGraphicFramePr/>
                <a:graphic xmlns:a="http://schemas.openxmlformats.org/drawingml/2006/main">
                  <a:graphicData uri="http://schemas.microsoft.com/office/word/2010/wordprocessingShape">
                    <wps:wsp>
                      <wps:cNvSpPr/>
                      <wps:spPr>
                        <a:xfrm>
                          <a:off x="0" y="0"/>
                          <a:ext cx="2025144" cy="23548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C6A32" id="Rectángulo 11" o:spid="_x0000_s1026" style="position:absolute;margin-left:69.5pt;margin-top:95.2pt;width:159.45pt;height:1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" filled="f" strokecolor="#1f4d78 [1604]" strokeweight="2.25pt"/>
            </w:pict>
          </mc:Fallback>
        </mc:AlternateContent>
      </w:r>
      <w:r w:rsidRPr="00BF3B15">
        <w:rPr>
          <w:noProof/>
          <w:lang w:eastAsia="es-MX"/>
        </w:rPr>
        <w:drawing>
          <wp:inline distT="0" distB="0" distL="0" distR="0" wp14:anchorId="34C7D57A" wp14:editId="715582EF">
            <wp:extent cx="4033106" cy="1458811"/>
            <wp:effectExtent l="0" t="0" r="5715"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050" t="53219" r="35686" b="32128"/>
                    <a:stretch/>
                  </pic:blipFill>
                  <pic:spPr bwMode="auto">
                    <a:xfrm>
                      <a:off x="0" y="0"/>
                      <a:ext cx="4135502" cy="1495848"/>
                    </a:xfrm>
                    <a:prstGeom prst="rect">
                      <a:avLst/>
                    </a:prstGeom>
                    <a:ln>
                      <a:noFill/>
                    </a:ln>
                    <a:extLst>
                      <a:ext uri="{53640926-AAD7-44D8-BBD7-CCE9431645EC}">
                        <a14:shadowObscured xmlns:a14="http://schemas.microsoft.com/office/drawing/2010/main"/>
                      </a:ext>
                    </a:extLst>
                  </pic:spPr>
                </pic:pic>
              </a:graphicData>
            </a:graphic>
          </wp:inline>
        </w:drawing>
      </w:r>
    </w:p>
    <w:p w:rsidR="009238AA" w:rsidRPr="00BF3B15" w:rsidRDefault="009238AA" w:rsidP="009238AA">
      <w:pPr>
        <w:spacing w:before="240" w:after="240" w:line="360" w:lineRule="auto"/>
        <w:jc w:val="center"/>
        <w:rPr>
          <w:rFonts w:ascii="Palatino Linotype" w:hAnsi="Palatino Linotype" w:cs="Arial"/>
        </w:rPr>
      </w:pPr>
      <w:r w:rsidRPr="00BF3B15">
        <w:rPr>
          <w:noProof/>
          <w:lang w:eastAsia="es-MX"/>
        </w:rPr>
        <mc:AlternateContent>
          <mc:Choice Requires="wps">
            <w:drawing>
              <wp:anchor distT="0" distB="0" distL="114300" distR="114300" simplePos="0" relativeHeight="251659264" behindDoc="0" locked="0" layoutInCell="1" allowOverlap="1">
                <wp:simplePos x="0" y="0"/>
                <wp:positionH relativeFrom="column">
                  <wp:posOffset>120183</wp:posOffset>
                </wp:positionH>
                <wp:positionV relativeFrom="paragraph">
                  <wp:posOffset>3258247</wp:posOffset>
                </wp:positionV>
                <wp:extent cx="2386941" cy="819398"/>
                <wp:effectExtent l="19050" t="19050" r="13970" b="19050"/>
                <wp:wrapNone/>
                <wp:docPr id="12" name="Rectángulo 12"/>
                <wp:cNvGraphicFramePr/>
                <a:graphic xmlns:a="http://schemas.openxmlformats.org/drawingml/2006/main">
                  <a:graphicData uri="http://schemas.microsoft.com/office/word/2010/wordprocessingShape">
                    <wps:wsp>
                      <wps:cNvSpPr/>
                      <wps:spPr>
                        <a:xfrm>
                          <a:off x="0" y="0"/>
                          <a:ext cx="2386941" cy="81939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27E17" id="Rectángulo 12" o:spid="_x0000_s1026" style="position:absolute;margin-left:9.45pt;margin-top:256.55pt;width:187.9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" filled="f" strokecolor="#1f4d78 [1604]" strokeweight="2.25pt"/>
            </w:pict>
          </mc:Fallback>
        </mc:AlternateContent>
      </w:r>
      <w:r w:rsidRPr="00BF3B15">
        <w:rPr>
          <w:noProof/>
          <w:lang w:eastAsia="es-MX"/>
        </w:rPr>
        <w:drawing>
          <wp:inline distT="0" distB="0" distL="0" distR="0" wp14:anchorId="5839C2BD" wp14:editId="3AF0A5D3">
            <wp:extent cx="5631446" cy="4223154"/>
            <wp:effectExtent l="0" t="0" r="762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200" t="19270" r="15987" b="24003"/>
                    <a:stretch/>
                  </pic:blipFill>
                  <pic:spPr bwMode="auto">
                    <a:xfrm>
                      <a:off x="0" y="0"/>
                      <a:ext cx="5670346" cy="4252326"/>
                    </a:xfrm>
                    <a:prstGeom prst="rect">
                      <a:avLst/>
                    </a:prstGeom>
                    <a:ln>
                      <a:noFill/>
                    </a:ln>
                    <a:extLst>
                      <a:ext uri="{53640926-AAD7-44D8-BBD7-CCE9431645EC}">
                        <a14:shadowObscured xmlns:a14="http://schemas.microsoft.com/office/drawing/2010/main"/>
                      </a:ext>
                    </a:extLst>
                  </pic:spPr>
                </pic:pic>
              </a:graphicData>
            </a:graphic>
          </wp:inline>
        </w:drawing>
      </w:r>
    </w:p>
    <w:p w:rsidR="009238AA" w:rsidRPr="00BF3B15" w:rsidRDefault="009238AA" w:rsidP="009238AA">
      <w:pPr>
        <w:spacing w:before="100" w:beforeAutospacing="1" w:after="100" w:afterAutospacing="1" w:line="360" w:lineRule="auto"/>
        <w:jc w:val="both"/>
        <w:rPr>
          <w:rFonts w:ascii="Palatino Linotype" w:hAnsi="Palatino Linotype" w:cs="Arial"/>
          <w:lang w:val="es-ES"/>
        </w:rPr>
      </w:pPr>
      <w:r w:rsidRPr="00BF3B15">
        <w:rPr>
          <w:rFonts w:ascii="Palatino Linotype" w:hAnsi="Palatino Linotype" w:cs="Arial"/>
          <w:lang w:val="es-ES"/>
        </w:rPr>
        <w:lastRenderedPageBreak/>
        <w:t xml:space="preserve">Atento a lo anterior, resulta claro que existe fuente obligacional que constriñe al </w:t>
      </w:r>
      <w:r w:rsidRPr="00BF3B15">
        <w:rPr>
          <w:rFonts w:ascii="Palatino Linotype" w:hAnsi="Palatino Linotype" w:cs="Arial"/>
          <w:b/>
          <w:lang w:val="es-ES"/>
        </w:rPr>
        <w:t>SUJETO OBLIGADO</w:t>
      </w:r>
      <w:r w:rsidRPr="00BF3B15">
        <w:rPr>
          <w:rFonts w:ascii="Palatino Linotype" w:hAnsi="Palatino Linotype" w:cs="Arial"/>
          <w:lang w:val="es-ES"/>
        </w:rPr>
        <w:t xml:space="preserve">, para entregar los informes mensuales al OSFEM de conformidad con el artículo 32 de la Ley de Fiscalización Superior del Estado de México, en los cuales se incluye lo referente a </w:t>
      </w:r>
      <w:r w:rsidRPr="00BF3B15">
        <w:rPr>
          <w:rFonts w:ascii="Palatino Linotype" w:hAnsi="Palatino Linotype" w:cs="Arial"/>
          <w:b/>
          <w:lang w:val="es-ES"/>
        </w:rPr>
        <w:t>los comprobantes fiscales por internet por concepto de nómina,</w:t>
      </w:r>
      <w:r w:rsidRPr="00BF3B15">
        <w:rPr>
          <w:rFonts w:ascii="Palatino Linotype" w:hAnsi="Palatino Linotype" w:cs="Arial"/>
          <w:i/>
          <w:lang w:val="es-ES"/>
        </w:rPr>
        <w:t xml:space="preserve"> </w:t>
      </w:r>
      <w:r w:rsidRPr="00BF3B15">
        <w:rPr>
          <w:rFonts w:ascii="Palatino Linotype" w:hAnsi="Palatino Linotype" w:cs="Arial"/>
          <w:lang w:val="es-ES"/>
        </w:rPr>
        <w:t>que comprenden la información relativa al pago de las remuneraciones de cada uno de los servidores públicos correspondiente a un periodo determinado.</w:t>
      </w:r>
    </w:p>
    <w:p w:rsidR="009238AA" w:rsidRPr="00BF3B15" w:rsidRDefault="009238AA" w:rsidP="009238AA">
      <w:pPr>
        <w:spacing w:before="100" w:beforeAutospacing="1" w:after="100" w:afterAutospacing="1" w:line="360" w:lineRule="auto"/>
        <w:jc w:val="both"/>
        <w:rPr>
          <w:rFonts w:ascii="Palatino Linotype" w:hAnsi="Palatino Linotype" w:cs="Arial"/>
          <w:bCs/>
          <w:lang w:val="es-ES"/>
        </w:rPr>
      </w:pPr>
      <w:r w:rsidRPr="00BF3B15">
        <w:rPr>
          <w:rFonts w:ascii="Palatino Linotype" w:hAnsi="Palatino Linotype" w:cs="Arial"/>
          <w:lang w:val="es-ES"/>
        </w:rPr>
        <w:t>En este sentido, la información solicitada es de</w:t>
      </w:r>
      <w:r w:rsidRPr="00BF3B15">
        <w:rPr>
          <w:rFonts w:ascii="Palatino Linotype" w:hAnsi="Palatino Linotype" w:cs="Arial"/>
          <w:bCs/>
          <w:lang w:val="es-ES"/>
        </w:rPr>
        <w:t xml:space="preserve"> interés general y de alcance público, puesto que la ciudadanía tiene derecho a saber cuánto es el gasto ejercido para el pago de remuneraciones por servicios personales al realizar las funciones públicas, esto es, su acceso</w:t>
      </w:r>
      <w:r w:rsidRPr="00BF3B15">
        <w:rPr>
          <w:rFonts w:ascii="Palatino Linotype" w:hAnsi="Palatino Linotype" w:cs="Arial"/>
          <w:lang w:val="es-ES"/>
        </w:rPr>
        <w:t xml:space="preserve"> </w:t>
      </w:r>
      <w:r w:rsidRPr="00BF3B15">
        <w:rPr>
          <w:rFonts w:ascii="Palatino Linotype" w:hAnsi="Palatino Linotype" w:cs="Arial"/>
          <w:bCs/>
          <w:lang w:val="es-ES"/>
        </w:rPr>
        <w:t>permite transparentar la aplicación de los recursos públicos que son otorgados para el cumplimiento de sus funciones, ello conforme a lo dispuesto por el artículo 23, fracción IV y penúltimo párrafo de la Ley de Transparencia y Acceso a la Información Pública del Estado de México y Municipios, citado al inicio del presente estudio, mismo que establece como deber de los Sujetos Obligados el hacer pública toda la información respecto a los montos y nombres de las personas a quienes se entreguen recursos públicos y con ello transparentar la forma, términos, causas y finalidad en la disposición de esos recursos.</w:t>
      </w:r>
    </w:p>
    <w:p w:rsidR="004E64C4" w:rsidRPr="00BF3B15" w:rsidRDefault="004E64C4" w:rsidP="004E64C4">
      <w:pPr>
        <w:spacing w:before="100" w:beforeAutospacing="1" w:after="100" w:afterAutospacing="1" w:line="360" w:lineRule="auto"/>
        <w:jc w:val="both"/>
        <w:rPr>
          <w:rFonts w:ascii="Palatino Linotype" w:hAnsi="Palatino Linotype" w:cs="Arial"/>
          <w:lang w:val="es-ES"/>
        </w:rPr>
      </w:pPr>
      <w:r w:rsidRPr="00BF3B15">
        <w:rPr>
          <w:rFonts w:ascii="Palatino Linotype" w:hAnsi="Palatino Linotype" w:cs="Arial"/>
          <w:lang w:val="es-ES"/>
        </w:rPr>
        <w:t xml:space="preserve">Sirve de sustento por analogía, para justificar la publicidad sobre los datos relativos a los montos por concepto de pago de las remuneraciones, los criterios 01/2003 y 02/2003 emitidos por el Comité de Acceso a la Información Pública y Protección de Datos Personales de la Suprema Corte de Justicia de la Nación que a continuación se citan: </w:t>
      </w:r>
    </w:p>
    <w:p w:rsidR="00CF29DA" w:rsidRPr="00BF3B15" w:rsidRDefault="00CF29DA" w:rsidP="004E64C4">
      <w:pPr>
        <w:spacing w:before="100" w:beforeAutospacing="1" w:after="100" w:afterAutospacing="1" w:line="360" w:lineRule="auto"/>
        <w:jc w:val="both"/>
        <w:rPr>
          <w:rFonts w:ascii="Palatino Linotype" w:hAnsi="Palatino Linotype" w:cs="Arial"/>
          <w:lang w:val="es-ES"/>
        </w:rPr>
      </w:pPr>
    </w:p>
    <w:p w:rsidR="004E64C4" w:rsidRPr="00BF3B15" w:rsidRDefault="004E64C4" w:rsidP="004E64C4">
      <w:pPr>
        <w:ind w:left="709" w:right="760"/>
        <w:jc w:val="center"/>
        <w:rPr>
          <w:rFonts w:ascii="Palatino Linotype" w:hAnsi="Palatino Linotype" w:cs="Arial"/>
          <w:b/>
          <w:i/>
          <w:sz w:val="22"/>
          <w:lang w:val="es-ES"/>
        </w:rPr>
      </w:pPr>
      <w:r w:rsidRPr="00BF3B15">
        <w:rPr>
          <w:rFonts w:ascii="Palatino Linotype" w:hAnsi="Palatino Linotype" w:cs="Arial"/>
          <w:b/>
          <w:i/>
          <w:sz w:val="22"/>
          <w:lang w:val="es-ES"/>
        </w:rPr>
        <w:lastRenderedPageBreak/>
        <w:t>“Criterio 01/2003.</w:t>
      </w:r>
    </w:p>
    <w:p w:rsidR="004E64C4" w:rsidRPr="00BF3B15" w:rsidRDefault="004E64C4" w:rsidP="004E64C4">
      <w:pPr>
        <w:ind w:left="709" w:right="760"/>
        <w:jc w:val="both"/>
        <w:rPr>
          <w:rFonts w:ascii="Palatino Linotype" w:hAnsi="Palatino Linotype" w:cs="Arial"/>
          <w:i/>
          <w:sz w:val="22"/>
          <w:lang w:val="es-ES"/>
        </w:rPr>
      </w:pPr>
      <w:r w:rsidRPr="00BF3B15">
        <w:rPr>
          <w:rFonts w:ascii="Palatino Linotype" w:hAnsi="Palatino Linotype" w:cs="Arial"/>
          <w:b/>
          <w:i/>
          <w:sz w:val="22"/>
          <w:lang w:val="es-ES"/>
        </w:rPr>
        <w:t>“INGRESOS DE LOS SERVIDORES PÚBLICOS. CONSTITUYEN INFORMACIÓN PÚBLICA AÚN Y CUANDO SU DIFUSIÓN PUEDE AFECTAR LA VIDA O LA SEGURIDAD DE AQUELLOS.</w:t>
      </w:r>
      <w:r w:rsidRPr="00BF3B15">
        <w:rPr>
          <w:rFonts w:ascii="Palatino Linotype" w:hAnsi="Palatino Linotype" w:cs="Arial"/>
          <w:i/>
          <w:sz w:val="22"/>
          <w:lang w:val="es-ES"/>
        </w:rPr>
        <w:t xml:space="preserve"> 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 debe reconocerse que aun y  cuando en ese supuesto podría encuadrar la relativa a las percepciones ordinarias y extraordinaria de los servidores públicos, ello no obsta para reconocer que el legislador estableció en el artículo 7 de ese mismo ordenamiento que la referida información, como una obligación de trasparencia, </w:t>
      </w:r>
      <w:r w:rsidRPr="00BF3B15">
        <w:rPr>
          <w:rFonts w:ascii="Palatino Linotype" w:hAnsi="Palatino Linotype" w:cs="Arial"/>
          <w:b/>
          <w:i/>
          <w:sz w:val="22"/>
          <w:lang w:val="es-ES"/>
        </w:rPr>
        <w:t>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r w:rsidRPr="00BF3B15">
        <w:rPr>
          <w:rFonts w:ascii="Palatino Linotype" w:hAnsi="Palatino Linotype" w:cs="Arial"/>
          <w:i/>
          <w:sz w:val="22"/>
          <w:lang w:val="es-ES"/>
        </w:rPr>
        <w:t>…”</w:t>
      </w:r>
    </w:p>
    <w:p w:rsidR="004E64C4" w:rsidRPr="00BF3B15" w:rsidRDefault="004E64C4" w:rsidP="004E64C4">
      <w:pPr>
        <w:ind w:left="709" w:right="760"/>
        <w:jc w:val="both"/>
        <w:rPr>
          <w:rFonts w:ascii="Palatino Linotype" w:hAnsi="Palatino Linotype" w:cs="Arial"/>
          <w:i/>
          <w:sz w:val="22"/>
          <w:lang w:val="es-ES"/>
        </w:rPr>
      </w:pPr>
    </w:p>
    <w:p w:rsidR="004E64C4" w:rsidRPr="00BF3B15" w:rsidRDefault="004E64C4" w:rsidP="004E64C4">
      <w:pPr>
        <w:ind w:left="709" w:right="760"/>
        <w:jc w:val="center"/>
        <w:rPr>
          <w:rFonts w:ascii="Palatino Linotype" w:hAnsi="Palatino Linotype" w:cs="Arial"/>
          <w:b/>
          <w:i/>
          <w:sz w:val="22"/>
          <w:lang w:val="es-ES"/>
        </w:rPr>
      </w:pPr>
      <w:r w:rsidRPr="00BF3B15">
        <w:rPr>
          <w:rFonts w:ascii="Palatino Linotype" w:hAnsi="Palatino Linotype" w:cs="Arial"/>
          <w:b/>
          <w:i/>
          <w:sz w:val="22"/>
          <w:lang w:val="es-ES"/>
        </w:rPr>
        <w:t>“Criterio 02/2003.</w:t>
      </w:r>
    </w:p>
    <w:p w:rsidR="004E64C4" w:rsidRPr="00BF3B15" w:rsidRDefault="004E64C4" w:rsidP="004E64C4">
      <w:pPr>
        <w:ind w:left="709" w:right="760"/>
        <w:jc w:val="both"/>
        <w:rPr>
          <w:rFonts w:ascii="Palatino Linotype" w:hAnsi="Palatino Linotype" w:cs="Arial"/>
          <w:i/>
          <w:sz w:val="22"/>
          <w:lang w:val="es-ES"/>
        </w:rPr>
      </w:pPr>
      <w:r w:rsidRPr="00BF3B15">
        <w:rPr>
          <w:rFonts w:ascii="Palatino Linotype" w:hAnsi="Palatino Linotype" w:cs="Arial"/>
          <w:b/>
          <w:i/>
          <w:sz w:val="22"/>
          <w:lang w:val="es-ES"/>
        </w:rPr>
        <w:t>INGRESOS DE LOS SERVIDORES PÚBLICOS, SON INFORMACIÓN PÚBLICA AÚN Y CUANDO CONSTITUYEN DATOS PERSONALES QUE SE REFIEREN AL PATRIMONIO DE AQUÉLLOS.</w:t>
      </w:r>
      <w:r w:rsidRPr="00BF3B15">
        <w:rPr>
          <w:rFonts w:ascii="Palatino Linotype" w:hAnsi="Palatino Linotype" w:cs="Arial"/>
          <w:i/>
          <w:sz w:val="22"/>
          <w:lang w:val="es-ES"/>
        </w:rPr>
        <w:t xml:space="preserve"> De la interpretación sistemática de lo previsto en los artículos 3º, fracción II; 7º, 9º y 18, fracción II, de la Ley Federal de Transparencia y Acceso a la Información Pública Gubernamental se advierte que no constituye información confidencial la relativa a los ingresos que reciben los servidores públicos, ya que aun y cuando se trata de datos personales relativos a su patrimonio, para su difusión no se requiere consentimiento de aquellos, </w:t>
      </w:r>
      <w:r w:rsidRPr="00BF3B15">
        <w:rPr>
          <w:rFonts w:ascii="Palatino Linotype" w:hAnsi="Palatino Linotype" w:cs="Arial"/>
          <w:b/>
          <w:i/>
          <w:sz w:val="22"/>
          <w:lang w:val="es-ES"/>
        </w:rPr>
        <w:t>lo que deriva del hecho de que en términos de los previsto en el citado ordenamiento deben ponerse a disposición del público a través de medios remotos o locales de comunicación electrónica, tanto el directorio de servidores públicos como las remuneraciones mensuales por puesto incluso</w:t>
      </w:r>
      <w:r w:rsidRPr="00BF3B15">
        <w:rPr>
          <w:rFonts w:ascii="Palatino Linotype" w:hAnsi="Palatino Linotype" w:cs="Arial"/>
          <w:i/>
          <w:sz w:val="22"/>
          <w:lang w:val="es-ES"/>
        </w:rPr>
        <w:t xml:space="preserve"> el sistema de compensación…”</w:t>
      </w:r>
    </w:p>
    <w:p w:rsidR="004E64C4" w:rsidRPr="00BF3B15" w:rsidRDefault="004E64C4" w:rsidP="004E64C4">
      <w:pPr>
        <w:ind w:left="709" w:right="760"/>
        <w:jc w:val="both"/>
        <w:rPr>
          <w:rFonts w:ascii="Palatino Linotype" w:hAnsi="Palatino Linotype" w:cs="Arial"/>
          <w:i/>
          <w:sz w:val="22"/>
          <w:lang w:val="es-ES"/>
        </w:rPr>
      </w:pPr>
    </w:p>
    <w:p w:rsidR="004E64C4" w:rsidRPr="00BF3B15" w:rsidRDefault="004E64C4" w:rsidP="004E64C4">
      <w:pPr>
        <w:ind w:left="709" w:right="760"/>
        <w:jc w:val="both"/>
        <w:rPr>
          <w:rFonts w:ascii="Palatino Linotype" w:hAnsi="Palatino Linotype" w:cs="Arial"/>
          <w:i/>
          <w:sz w:val="22"/>
          <w:lang w:val="es-ES"/>
        </w:rPr>
      </w:pPr>
      <w:r w:rsidRPr="00BF3B15">
        <w:rPr>
          <w:rFonts w:ascii="Palatino Linotype" w:hAnsi="Palatino Linotype" w:cs="Arial"/>
          <w:i/>
          <w:sz w:val="22"/>
          <w:lang w:val="es-ES"/>
        </w:rPr>
        <w:t>(Énfasis añadido)</w:t>
      </w:r>
    </w:p>
    <w:p w:rsidR="004E64C4" w:rsidRPr="00BF3B15" w:rsidRDefault="004E64C4" w:rsidP="004E64C4">
      <w:pPr>
        <w:spacing w:before="100" w:beforeAutospacing="1" w:after="100" w:afterAutospacing="1" w:line="360" w:lineRule="auto"/>
        <w:jc w:val="both"/>
        <w:rPr>
          <w:rFonts w:ascii="Palatino Linotype" w:hAnsi="Palatino Linotype" w:cs="Arial"/>
          <w:lang w:val="es-ES"/>
        </w:rPr>
      </w:pPr>
      <w:r w:rsidRPr="00BF3B15">
        <w:rPr>
          <w:rFonts w:ascii="Palatino Linotype" w:hAnsi="Palatino Linotype" w:cs="Arial"/>
          <w:lang w:val="es-ES"/>
        </w:rPr>
        <w:t xml:space="preserve">En este sentido, </w:t>
      </w:r>
      <w:r w:rsidRPr="00BF3B15">
        <w:rPr>
          <w:rFonts w:ascii="Palatino Linotype" w:hAnsi="Palatino Linotype" w:cs="Arial"/>
          <w:b/>
          <w:lang w:val="es-ES"/>
        </w:rPr>
        <w:t>EL SUJETO OBLIGADO</w:t>
      </w:r>
      <w:r w:rsidRPr="00BF3B15">
        <w:rPr>
          <w:rFonts w:ascii="Palatino Linotype" w:hAnsi="Palatino Linotype" w:cs="Arial"/>
          <w:lang w:val="es-ES"/>
        </w:rPr>
        <w:t xml:space="preserve"> se encuentra constreñido a entregar la información solicitada por </w:t>
      </w:r>
      <w:r w:rsidRPr="00BF3B15">
        <w:rPr>
          <w:rFonts w:ascii="Palatino Linotype" w:hAnsi="Palatino Linotype" w:cs="Arial"/>
          <w:b/>
          <w:color w:val="000000"/>
          <w:lang w:eastAsia="es-MX"/>
        </w:rPr>
        <w:t>LA RECURRENTE</w:t>
      </w:r>
      <w:r w:rsidRPr="00BF3B15">
        <w:rPr>
          <w:rFonts w:ascii="Palatino Linotype" w:hAnsi="Palatino Linotype" w:cs="Arial"/>
          <w:lang w:val="es-ES"/>
        </w:rPr>
        <w:t xml:space="preserve">, de acuerdo a lo dispuesto por los </w:t>
      </w:r>
      <w:r w:rsidRPr="00BF3B15">
        <w:rPr>
          <w:rFonts w:ascii="Palatino Linotype" w:hAnsi="Palatino Linotype" w:cs="Arial"/>
          <w:lang w:val="es-ES"/>
        </w:rPr>
        <w:lastRenderedPageBreak/>
        <w:t>artículos 3, fracción XI, 12 y 92, fracción VIII</w:t>
      </w:r>
      <w:r w:rsidR="0089171D" w:rsidRPr="00BF3B15">
        <w:rPr>
          <w:rStyle w:val="Refdenotaalpie"/>
          <w:rFonts w:ascii="Palatino Linotype" w:hAnsi="Palatino Linotype" w:cs="Arial"/>
          <w:lang w:val="es-ES"/>
        </w:rPr>
        <w:footnoteReference w:id="3"/>
      </w:r>
      <w:r w:rsidRPr="00BF3B15">
        <w:rPr>
          <w:rFonts w:ascii="Palatino Linotype" w:hAnsi="Palatino Linotype" w:cs="Arial"/>
          <w:lang w:val="es-ES"/>
        </w:rPr>
        <w:t xml:space="preserve"> </w:t>
      </w:r>
      <w:r w:rsidRPr="00BF3B15">
        <w:rPr>
          <w:rFonts w:ascii="Palatino Linotype" w:hAnsi="Palatino Linotype" w:cs="Arial"/>
          <w:bCs/>
          <w:lang w:val="es-ES"/>
        </w:rPr>
        <w:t>de la Ley de Transparencia y Acceso a la Información Pública del Estado de México y Municipios</w:t>
      </w:r>
      <w:r w:rsidRPr="00BF3B15">
        <w:rPr>
          <w:rFonts w:ascii="Palatino Linotype" w:hAnsi="Palatino Linotype" w:cs="Arial"/>
          <w:lang w:val="es-ES"/>
        </w:rPr>
        <w:t>, de los cuales se desprende que es información pública la contenida en los documentos que los Sujetos Obligados generen, administren o se encuentre en su posesión en ejercicio de sus atribuciones, así como una obligación de transparencia común el poner a disposición del público de manera permanente y actualizada en forma sencilla precisa y entendible en los medios electrónicos respectivos, la remuneración bruta y neta de todos los servidores públicos de base y de confianza, señalando la periodicidad de dicha remuneración.</w:t>
      </w:r>
    </w:p>
    <w:p w:rsidR="0089171D" w:rsidRPr="00BF3B15" w:rsidRDefault="004E64C4" w:rsidP="0089171D">
      <w:pPr>
        <w:autoSpaceDE w:val="0"/>
        <w:autoSpaceDN w:val="0"/>
        <w:adjustRightInd w:val="0"/>
        <w:spacing w:before="100" w:beforeAutospacing="1" w:after="100" w:afterAutospacing="1" w:line="360" w:lineRule="auto"/>
        <w:jc w:val="both"/>
        <w:rPr>
          <w:rFonts w:ascii="Palatino Linotype" w:hAnsi="Palatino Linotype" w:cs="Arial"/>
          <w:bCs/>
          <w:lang w:val="es-ES"/>
        </w:rPr>
      </w:pPr>
      <w:r w:rsidRPr="00BF3B15">
        <w:rPr>
          <w:rFonts w:ascii="Palatino Linotype" w:hAnsi="Palatino Linotype" w:cs="Arial"/>
          <w:bCs/>
          <w:lang w:val="es-ES"/>
        </w:rPr>
        <w:t xml:space="preserve">Establecido lo anterior, se puede advertir que </w:t>
      </w:r>
      <w:r w:rsidRPr="00BF3B15">
        <w:rPr>
          <w:rFonts w:ascii="Palatino Linotype" w:hAnsi="Palatino Linotype" w:cs="Arial"/>
          <w:b/>
          <w:bCs/>
          <w:lang w:val="es-ES"/>
        </w:rPr>
        <w:t xml:space="preserve">EL SUJETO OBLIGADO </w:t>
      </w:r>
      <w:r w:rsidRPr="00BF3B15">
        <w:rPr>
          <w:rFonts w:ascii="Palatino Linotype" w:hAnsi="Palatino Linotype" w:cs="Arial"/>
          <w:bCs/>
          <w:lang w:val="es-ES"/>
        </w:rPr>
        <w:t xml:space="preserve">se encuentra constreñido a contar con los comprobantes fiscales por internet por concepto de nómina, los cuales de manera enunciativa mas no limitativa pudiera ser los documentos en los que conste el pago de la primera quincena del mes de noviembre de dos mil dieciocho, que solicito la hoy </w:t>
      </w:r>
      <w:r w:rsidRPr="00BF3B15">
        <w:rPr>
          <w:rFonts w:ascii="Palatino Linotype" w:hAnsi="Palatino Linotype" w:cs="Arial"/>
          <w:b/>
          <w:bCs/>
          <w:lang w:val="es-ES"/>
        </w:rPr>
        <w:t>RECURRENTE</w:t>
      </w:r>
      <w:r w:rsidR="00515048" w:rsidRPr="00BF3B15">
        <w:rPr>
          <w:rFonts w:ascii="Palatino Linotype" w:hAnsi="Palatino Linotype" w:cs="Arial"/>
          <w:b/>
          <w:bCs/>
          <w:lang w:val="es-ES"/>
        </w:rPr>
        <w:t xml:space="preserve">; </w:t>
      </w:r>
      <w:r w:rsidR="00515048" w:rsidRPr="00BF3B15">
        <w:rPr>
          <w:rFonts w:ascii="Palatino Linotype" w:hAnsi="Palatino Linotype" w:cs="Arial"/>
          <w:bCs/>
          <w:lang w:val="es-ES"/>
        </w:rPr>
        <w:t xml:space="preserve">razón por la que se determina que a la información </w:t>
      </w:r>
      <w:r w:rsidR="00202B2C" w:rsidRPr="00BF3B15">
        <w:rPr>
          <w:rFonts w:ascii="Palatino Linotype" w:hAnsi="Palatino Linotype" w:cs="Arial"/>
          <w:bCs/>
          <w:lang w:val="es-ES"/>
        </w:rPr>
        <w:t>requerida</w:t>
      </w:r>
      <w:r w:rsidR="00515048" w:rsidRPr="00BF3B15">
        <w:rPr>
          <w:rFonts w:ascii="Palatino Linotype" w:hAnsi="Palatino Linotype" w:cs="Arial"/>
          <w:bCs/>
          <w:lang w:val="es-ES"/>
        </w:rPr>
        <w:t xml:space="preserve"> le corresponde el carácter de pública y no debe considerarse como reservada; en consecuencia de ordena su entrega en versión pública, tal como se estudiara </w:t>
      </w:r>
      <w:r w:rsidR="0089171D" w:rsidRPr="00BF3B15">
        <w:rPr>
          <w:rFonts w:ascii="Palatino Linotype" w:hAnsi="Palatino Linotype" w:cs="Arial"/>
          <w:bCs/>
          <w:lang w:val="es-ES"/>
        </w:rPr>
        <w:t>más</w:t>
      </w:r>
      <w:r w:rsidR="00515048" w:rsidRPr="00BF3B15">
        <w:rPr>
          <w:rFonts w:ascii="Palatino Linotype" w:hAnsi="Palatino Linotype" w:cs="Arial"/>
          <w:bCs/>
          <w:lang w:val="es-ES"/>
        </w:rPr>
        <w:t xml:space="preserve"> adelante.</w:t>
      </w:r>
    </w:p>
    <w:p w:rsidR="00515048" w:rsidRPr="00BF3B15" w:rsidRDefault="00515048" w:rsidP="0089171D">
      <w:pPr>
        <w:autoSpaceDE w:val="0"/>
        <w:autoSpaceDN w:val="0"/>
        <w:adjustRightInd w:val="0"/>
        <w:spacing w:before="100" w:beforeAutospacing="1" w:after="100" w:afterAutospacing="1" w:line="360" w:lineRule="auto"/>
        <w:jc w:val="both"/>
        <w:rPr>
          <w:rFonts w:ascii="Palatino Linotype" w:hAnsi="Palatino Linotype" w:cs="Arial"/>
          <w:bCs/>
          <w:lang w:val="es-ES"/>
        </w:rPr>
      </w:pPr>
      <w:r w:rsidRPr="00BF3B15">
        <w:rPr>
          <w:rFonts w:ascii="Palatino Linotype" w:hAnsi="Palatino Linotype" w:cs="Arial"/>
          <w:color w:val="000000"/>
        </w:rPr>
        <w:t xml:space="preserve">No pasa desapercibido para esta Ponencia Resolutora que derivado que se va a </w:t>
      </w:r>
      <w:r w:rsidRPr="00BF3B15">
        <w:rPr>
          <w:rFonts w:ascii="Palatino Linotype" w:hAnsi="Palatino Linotype" w:cs="Arial"/>
        </w:rPr>
        <w:t xml:space="preserve">ordena entregar los </w:t>
      </w:r>
      <w:r w:rsidRPr="00BF3B15">
        <w:rPr>
          <w:rFonts w:ascii="Palatino Linotype" w:hAnsi="Palatino Linotype" w:cs="Arial"/>
          <w:bCs/>
          <w:lang w:val="es-ES"/>
        </w:rPr>
        <w:t>comprobantes fiscales por internet por concepto de nómina, de los servidores públicos adscritos a la Dirección Seguridad Pública y Transito</w:t>
      </w:r>
      <w:r w:rsidRPr="00BF3B15">
        <w:rPr>
          <w:rStyle w:val="Refdenotaalpie"/>
          <w:rFonts w:ascii="Palatino Linotype" w:hAnsi="Palatino Linotype" w:cs="Arial"/>
        </w:rPr>
        <w:footnoteReference w:id="4"/>
      </w:r>
      <w:r w:rsidRPr="00BF3B15">
        <w:rPr>
          <w:rFonts w:ascii="Palatino Linotype" w:hAnsi="Palatino Linotype" w:cs="Arial"/>
          <w:bCs/>
          <w:lang w:val="es-ES"/>
        </w:rPr>
        <w:t xml:space="preserve"> </w:t>
      </w:r>
      <w:r w:rsidRPr="00BF3B15">
        <w:rPr>
          <w:rFonts w:ascii="Palatino Linotype" w:hAnsi="Palatino Linotype" w:cs="Arial"/>
        </w:rPr>
        <w:t xml:space="preserve">y con el </w:t>
      </w:r>
      <w:r w:rsidRPr="00BF3B15">
        <w:rPr>
          <w:rFonts w:ascii="Palatino Linotype" w:hAnsi="Palatino Linotype" w:cs="Arial"/>
        </w:rPr>
        <w:lastRenderedPageBreak/>
        <w:t xml:space="preserve">objeto de salvaguardar dicha información, </w:t>
      </w:r>
      <w:r w:rsidRPr="00BF3B15">
        <w:rPr>
          <w:rFonts w:ascii="Palatino Linotype" w:hAnsi="Palatino Linotype" w:cs="Arial"/>
          <w:b/>
        </w:rPr>
        <w:t>EL SUJETO OBLIGADO</w:t>
      </w:r>
      <w:r w:rsidRPr="00BF3B15">
        <w:rPr>
          <w:rFonts w:ascii="Palatino Linotype" w:hAnsi="Palatino Linotype" w:cs="Arial"/>
        </w:rPr>
        <w:t xml:space="preserve"> deberá disociar</w:t>
      </w:r>
      <w:r w:rsidR="00A85DA7" w:rsidRPr="00BF3B15">
        <w:rPr>
          <w:rStyle w:val="Refdenotaalpie"/>
          <w:rFonts w:ascii="Palatino Linotype" w:hAnsi="Palatino Linotype" w:cs="Arial"/>
        </w:rPr>
        <w:footnoteReference w:id="5"/>
      </w:r>
      <w:r w:rsidRPr="00BF3B15">
        <w:rPr>
          <w:rFonts w:ascii="Palatino Linotype" w:hAnsi="Palatino Linotype" w:cs="Arial"/>
        </w:rPr>
        <w:t xml:space="preserve"> la información respecto de esta Dirección, c</w:t>
      </w:r>
      <w:r w:rsidR="00202B2C" w:rsidRPr="00BF3B15">
        <w:rPr>
          <w:rFonts w:ascii="Palatino Linotype" w:hAnsi="Palatino Linotype" w:cs="Arial"/>
        </w:rPr>
        <w:t xml:space="preserve">on el objeto de no identificar </w:t>
      </w:r>
      <w:r w:rsidRPr="00BF3B15">
        <w:rPr>
          <w:rFonts w:ascii="Palatino Linotype" w:hAnsi="Palatino Linotype" w:cs="Arial"/>
        </w:rPr>
        <w:t>al servidor público con su cargo y sueldo; p</w:t>
      </w:r>
      <w:r w:rsidRPr="00BF3B15">
        <w:rPr>
          <w:rFonts w:ascii="Palatino Linotype" w:hAnsi="Palatino Linotype" w:cs="Arial"/>
          <w:color w:val="000000" w:themeColor="text1"/>
        </w:rPr>
        <w:t>or lo que, deberá transparentar el nombre de los servidores públicos que se desempeñen en materia de seguridad pública, sin que se les permita vincular con su cargo, por lo que deberá hace</w:t>
      </w:r>
      <w:r w:rsidR="00D268CE" w:rsidRPr="00BF3B15">
        <w:rPr>
          <w:rFonts w:ascii="Palatino Linotype" w:hAnsi="Palatino Linotype" w:cs="Arial"/>
          <w:color w:val="000000" w:themeColor="text1"/>
        </w:rPr>
        <w:t>r</w:t>
      </w:r>
      <w:r w:rsidRPr="00BF3B15">
        <w:rPr>
          <w:rFonts w:ascii="Palatino Linotype" w:hAnsi="Palatino Linotype" w:cs="Arial"/>
          <w:color w:val="000000" w:themeColor="text1"/>
        </w:rPr>
        <w:t xml:space="preserve"> entrega de un documento por separado, insistiendo en que no deberá vincularse con el cargo del mismo. </w:t>
      </w:r>
    </w:p>
    <w:p w:rsidR="002017FF" w:rsidRPr="00BF3B15" w:rsidRDefault="002017FF" w:rsidP="002017FF">
      <w:pPr>
        <w:spacing w:before="100" w:beforeAutospacing="1" w:after="100" w:afterAutospacing="1" w:line="360" w:lineRule="auto"/>
        <w:jc w:val="both"/>
        <w:rPr>
          <w:rFonts w:ascii="Palatino Linotype" w:hAnsi="Palatino Linotype" w:cs="Arial"/>
          <w:color w:val="000000" w:themeColor="text1"/>
        </w:rPr>
      </w:pPr>
      <w:r w:rsidRPr="00BF3B15">
        <w:rPr>
          <w:rFonts w:ascii="Palatino Linotype" w:hAnsi="Palatino Linotype" w:cs="Arial"/>
          <w:color w:val="000000" w:themeColor="text1"/>
        </w:rPr>
        <w:t>Ahora bien, toca analizar la solicitud de información identificada en el presente estudio con el inciso b), correspondiente a</w:t>
      </w:r>
      <w:r w:rsidR="00EA713C" w:rsidRPr="00BF3B15">
        <w:rPr>
          <w:rFonts w:ascii="Palatino Linotype" w:hAnsi="Palatino Linotype" w:cs="Arial"/>
          <w:color w:val="000000" w:themeColor="text1"/>
        </w:rPr>
        <w:t>l</w:t>
      </w:r>
      <w:r w:rsidRPr="00BF3B15">
        <w:rPr>
          <w:rFonts w:ascii="Palatino Linotype" w:hAnsi="Palatino Linotype" w:cs="Arial"/>
          <w:color w:val="000000" w:themeColor="text1"/>
        </w:rPr>
        <w:t xml:space="preserve"> número de</w:t>
      </w:r>
      <w:r w:rsidR="0089171D" w:rsidRPr="00BF3B15">
        <w:rPr>
          <w:rFonts w:ascii="Palatino Linotype" w:hAnsi="Palatino Linotype" w:cs="Arial"/>
          <w:color w:val="000000" w:themeColor="text1"/>
        </w:rPr>
        <w:t>l</w:t>
      </w:r>
      <w:r w:rsidRPr="00BF3B15">
        <w:rPr>
          <w:rFonts w:ascii="Palatino Linotype" w:hAnsi="Palatino Linotype" w:cs="Arial"/>
          <w:color w:val="000000" w:themeColor="text1"/>
        </w:rPr>
        <w:t xml:space="preserve"> parque vehicular de la Dirección d</w:t>
      </w:r>
      <w:r w:rsidR="00305715" w:rsidRPr="00BF3B15">
        <w:rPr>
          <w:rFonts w:ascii="Palatino Linotype" w:hAnsi="Palatino Linotype" w:cs="Arial"/>
          <w:color w:val="000000" w:themeColor="text1"/>
        </w:rPr>
        <w:t xml:space="preserve">e Seguridad Pública y Tránsito; por lo que, </w:t>
      </w:r>
      <w:r w:rsidRPr="00BF3B15">
        <w:rPr>
          <w:rFonts w:ascii="Palatino Linotype" w:hAnsi="Palatino Linotype" w:cs="Arial"/>
          <w:color w:val="000000" w:themeColor="text1"/>
        </w:rPr>
        <w:t xml:space="preserve">derivado de la respuesta del </w:t>
      </w:r>
      <w:r w:rsidRPr="00BF3B15">
        <w:rPr>
          <w:rFonts w:ascii="Palatino Linotype" w:hAnsi="Palatino Linotype" w:cs="Arial"/>
          <w:b/>
          <w:color w:val="000000" w:themeColor="text1"/>
        </w:rPr>
        <w:t xml:space="preserve">SUJETO OBLIGADO, </w:t>
      </w:r>
      <w:r w:rsidRPr="00BF3B15">
        <w:rPr>
          <w:rFonts w:ascii="Palatino Linotype" w:hAnsi="Palatino Linotype" w:cs="Arial"/>
          <w:color w:val="000000" w:themeColor="text1"/>
        </w:rPr>
        <w:t xml:space="preserve">resulta conveniente traer a contexto lo establecido en </w:t>
      </w:r>
      <w:r w:rsidRPr="00BF3B15">
        <w:rPr>
          <w:rFonts w:ascii="Palatino Linotype" w:hAnsi="Palatino Linotype"/>
          <w:color w:val="000000"/>
        </w:rPr>
        <w:t>la Ley Orgánica Municipal, misma que señala lo siguiente:</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i/>
          <w:sz w:val="22"/>
          <w:szCs w:val="22"/>
        </w:rPr>
        <w:t>“</w:t>
      </w:r>
      <w:r w:rsidRPr="00BF3B15">
        <w:rPr>
          <w:rFonts w:ascii="Palatino Linotype" w:hAnsi="Palatino Linotype"/>
          <w:b/>
          <w:i/>
          <w:sz w:val="22"/>
          <w:szCs w:val="22"/>
        </w:rPr>
        <w:t>Artículo 52.-</w:t>
      </w:r>
      <w:r w:rsidRPr="00BF3B15">
        <w:rPr>
          <w:rFonts w:ascii="Palatino Linotype" w:hAnsi="Palatino Linotype"/>
          <w:i/>
          <w:sz w:val="22"/>
          <w:szCs w:val="22"/>
        </w:rPr>
        <w:t xml:space="preserve"> </w:t>
      </w:r>
      <w:r w:rsidRPr="00BF3B15">
        <w:rPr>
          <w:rFonts w:ascii="Palatino Linotype" w:hAnsi="Palatino Linotype"/>
          <w:b/>
          <w:i/>
          <w:sz w:val="22"/>
          <w:szCs w:val="22"/>
        </w:rPr>
        <w:t>Los síndicos municipales</w:t>
      </w:r>
      <w:r w:rsidRPr="00BF3B15">
        <w:rPr>
          <w:rFonts w:ascii="Palatino Linotype" w:hAnsi="Palatino Linotype"/>
          <w:i/>
          <w:sz w:val="22"/>
          <w:szCs w:val="22"/>
        </w:rPr>
        <w:t xml:space="preserve"> tendrán a su cargo la procuración y defensa de los derechos e intereses del municipio, en especial los de carácter </w:t>
      </w:r>
      <w:r w:rsidRPr="00BF3B15">
        <w:rPr>
          <w:rFonts w:ascii="Palatino Linotype" w:hAnsi="Palatino Linotype"/>
          <w:b/>
          <w:i/>
          <w:sz w:val="22"/>
          <w:szCs w:val="22"/>
        </w:rPr>
        <w:t xml:space="preserve">patrimonial </w:t>
      </w:r>
      <w:r w:rsidRPr="00BF3B15">
        <w:rPr>
          <w:rFonts w:ascii="Palatino Linotype" w:hAnsi="Palatino Linotype"/>
          <w:i/>
          <w:sz w:val="22"/>
          <w:szCs w:val="22"/>
        </w:rPr>
        <w:t>y la función de contraloría interna, la que, en su caso, ejercerán conjuntamente con el órgano de control y evaluación que al efecto establezcan los ayuntamientos.</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Artículo 53.-</w:t>
      </w:r>
      <w:r w:rsidRPr="00BF3B15">
        <w:rPr>
          <w:rFonts w:ascii="Palatino Linotype" w:hAnsi="Palatino Linotype"/>
          <w:i/>
          <w:sz w:val="22"/>
          <w:szCs w:val="22"/>
        </w:rPr>
        <w:t xml:space="preserve"> Los síndicos tendrán las siguientes atribuciones: </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VII.</w:t>
      </w:r>
      <w:r w:rsidRPr="00BF3B15">
        <w:rPr>
          <w:rFonts w:ascii="Palatino Linotype" w:hAnsi="Palatino Linotype"/>
          <w:i/>
          <w:sz w:val="22"/>
          <w:szCs w:val="22"/>
        </w:rPr>
        <w:t xml:space="preserve"> Intervenir en la </w:t>
      </w:r>
      <w:r w:rsidRPr="00BF3B15">
        <w:rPr>
          <w:rFonts w:ascii="Palatino Linotype" w:hAnsi="Palatino Linotype"/>
          <w:b/>
          <w:i/>
          <w:sz w:val="22"/>
          <w:szCs w:val="22"/>
        </w:rPr>
        <w:t>formulación del inventario general de los bienes muebles</w:t>
      </w:r>
      <w:r w:rsidRPr="00BF3B15">
        <w:rPr>
          <w:rFonts w:ascii="Palatino Linotype" w:hAnsi="Palatino Linotype"/>
          <w:i/>
          <w:sz w:val="22"/>
          <w:szCs w:val="22"/>
        </w:rPr>
        <w:t xml:space="preserve"> e inmuebles </w:t>
      </w:r>
      <w:r w:rsidRPr="00BF3B15">
        <w:rPr>
          <w:rFonts w:ascii="Palatino Linotype" w:hAnsi="Palatino Linotype"/>
          <w:b/>
          <w:i/>
          <w:sz w:val="22"/>
          <w:szCs w:val="22"/>
        </w:rPr>
        <w:t>propiedad del municipio</w:t>
      </w:r>
      <w:r w:rsidRPr="00BF3B15">
        <w:rPr>
          <w:rFonts w:ascii="Palatino Linotype" w:hAnsi="Palatino Linotype"/>
          <w:i/>
          <w:sz w:val="22"/>
          <w:szCs w:val="22"/>
        </w:rPr>
        <w:t>, haciendo que se inscriban en el libro especial, con expresión de sus valores y de todas las características de identificación, así como el uso y destino de los mismos;</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lastRenderedPageBreak/>
        <w:t>Artículo 91.-</w:t>
      </w:r>
      <w:r w:rsidRPr="00BF3B15">
        <w:rPr>
          <w:rFonts w:ascii="Palatino Linotype" w:hAnsi="Palatino Linotype"/>
          <w:i/>
          <w:sz w:val="22"/>
          <w:szCs w:val="22"/>
        </w:rPr>
        <w:t xml:space="preserve"> </w:t>
      </w:r>
      <w:r w:rsidRPr="00BF3B15">
        <w:rPr>
          <w:rFonts w:ascii="Palatino Linotype" w:hAnsi="Palatino Linotype"/>
          <w:b/>
          <w:i/>
          <w:sz w:val="22"/>
          <w:szCs w:val="22"/>
        </w:rPr>
        <w:t>La Secretaría del Ayuntamiento</w:t>
      </w:r>
      <w:r w:rsidRPr="00BF3B15">
        <w:rPr>
          <w:rFonts w:ascii="Palatino Linotype" w:hAnsi="Palatino Linotype"/>
          <w:i/>
          <w:sz w:val="22"/>
          <w:szCs w:val="22"/>
        </w:rPr>
        <w:t xml:space="preserve"> estará a cargo de un </w:t>
      </w:r>
      <w:r w:rsidRPr="00BF3B15">
        <w:rPr>
          <w:rFonts w:ascii="Palatino Linotype" w:hAnsi="Palatino Linotype"/>
          <w:b/>
          <w:i/>
          <w:sz w:val="22"/>
          <w:szCs w:val="22"/>
        </w:rPr>
        <w:t>Secretario</w:t>
      </w:r>
      <w:r w:rsidRPr="00BF3B15">
        <w:rPr>
          <w:rFonts w:ascii="Palatino Linotype" w:hAnsi="Palatino Linotype"/>
          <w:i/>
          <w:sz w:val="22"/>
          <w:szCs w:val="22"/>
        </w:rPr>
        <w:t xml:space="preserve">, el que, sin ser miembro del mismo, deberá ser nombrado por el propio Ayuntamiento a propuesta del Presidente Municipal como lo marca el artículo 31 de la presente ley. </w:t>
      </w:r>
    </w:p>
    <w:p w:rsidR="002017FF" w:rsidRPr="00BF3B15" w:rsidRDefault="002017FF" w:rsidP="0089171D">
      <w:pPr>
        <w:ind w:left="851" w:right="902"/>
        <w:jc w:val="both"/>
        <w:rPr>
          <w:rFonts w:ascii="Palatino Linotype" w:hAnsi="Palatino Linotype"/>
          <w:i/>
          <w:sz w:val="22"/>
          <w:szCs w:val="22"/>
        </w:rPr>
      </w:pP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i/>
          <w:sz w:val="22"/>
          <w:szCs w:val="22"/>
        </w:rPr>
        <w:t>Sus faltas temporales serán cubiertas por quien designe el Ayuntamiento y sus atribuciones son las siguientes:</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XI.</w:t>
      </w:r>
      <w:r w:rsidRPr="00BF3B15">
        <w:rPr>
          <w:rFonts w:ascii="Palatino Linotype" w:hAnsi="Palatino Linotype"/>
          <w:i/>
          <w:sz w:val="22"/>
          <w:szCs w:val="22"/>
        </w:rPr>
        <w:t xml:space="preserve"> Elaborar con la intervención del síndico </w:t>
      </w:r>
      <w:r w:rsidRPr="00BF3B15">
        <w:rPr>
          <w:rFonts w:ascii="Palatino Linotype" w:hAnsi="Palatino Linotype"/>
          <w:b/>
          <w:i/>
          <w:sz w:val="22"/>
          <w:szCs w:val="22"/>
        </w:rPr>
        <w:t>el inventario general de los bienes muebles</w:t>
      </w:r>
      <w:r w:rsidRPr="00BF3B15">
        <w:rPr>
          <w:rFonts w:ascii="Palatino Linotype" w:hAnsi="Palatino Linotype"/>
          <w:i/>
          <w:sz w:val="22"/>
          <w:szCs w:val="22"/>
        </w:rPr>
        <w:t xml:space="preserve"> e inmuebles </w:t>
      </w:r>
      <w:r w:rsidRPr="00BF3B15">
        <w:rPr>
          <w:rFonts w:ascii="Palatino Linotype" w:hAnsi="Palatino Linotype"/>
          <w:b/>
          <w:i/>
          <w:sz w:val="22"/>
          <w:szCs w:val="22"/>
        </w:rPr>
        <w:t>municipales</w:t>
      </w:r>
      <w:r w:rsidRPr="00BF3B15">
        <w:rPr>
          <w:rFonts w:ascii="Palatino Linotype" w:hAnsi="Palatino Linotype"/>
          <w:i/>
          <w:sz w:val="22"/>
          <w:szCs w:val="22"/>
        </w:rPr>
        <w:t xml:space="preserve">, así como la integración del sistema de información inmobiliaria, que contemple los bienes del dominio público y privado, en un término que no exceda de un año contado a partir de la instalación del ayuntamiento y presentarlo al cabildo para su conocimiento y opinión. </w:t>
      </w:r>
    </w:p>
    <w:p w:rsidR="002017FF" w:rsidRPr="00BF3B15" w:rsidRDefault="002017FF" w:rsidP="0089171D">
      <w:pPr>
        <w:ind w:left="851" w:right="902"/>
        <w:jc w:val="both"/>
        <w:rPr>
          <w:rFonts w:ascii="Palatino Linotype" w:hAnsi="Palatino Linotype"/>
          <w:i/>
          <w:sz w:val="22"/>
          <w:szCs w:val="22"/>
        </w:rPr>
      </w:pP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En el caso de que el ayuntamiento adquiera por cualquier concepto bienes muebles o inmuebles durante su ejercicio, deberá realizar la actualización del inventario general de los bienes muebles e inmuebles y del sistema de información</w:t>
      </w:r>
      <w:r w:rsidRPr="00BF3B15">
        <w:rPr>
          <w:rFonts w:ascii="Palatino Linotype" w:hAnsi="Palatino Linotype"/>
          <w:i/>
          <w:sz w:val="22"/>
          <w:szCs w:val="22"/>
        </w:rPr>
        <w:t xml:space="preserve"> inmobiliaria en un plazo de ciento veinte días hábiles a partir de su adquisición y presentar un informe trimestral al cabildo para su conocimiento y opinión.</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Artículo 95.-</w:t>
      </w:r>
      <w:r w:rsidRPr="00BF3B15">
        <w:rPr>
          <w:rFonts w:ascii="Palatino Linotype" w:hAnsi="Palatino Linotype"/>
          <w:i/>
          <w:sz w:val="22"/>
          <w:szCs w:val="22"/>
        </w:rPr>
        <w:t xml:space="preserve"> Son atribuciones del tesorero municipal:</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2017FF" w:rsidRPr="00BF3B15" w:rsidRDefault="002017FF" w:rsidP="0089171D">
      <w:pPr>
        <w:ind w:left="851" w:right="902"/>
        <w:jc w:val="both"/>
        <w:rPr>
          <w:rFonts w:ascii="Palatino Linotype" w:hAnsi="Palatino Linotype"/>
          <w:i/>
          <w:sz w:val="22"/>
          <w:szCs w:val="22"/>
        </w:rPr>
      </w:pPr>
      <w:r w:rsidRPr="00BF3B15">
        <w:rPr>
          <w:rFonts w:ascii="Palatino Linotype" w:hAnsi="Palatino Linotype"/>
          <w:b/>
          <w:i/>
          <w:sz w:val="22"/>
          <w:szCs w:val="22"/>
        </w:rPr>
        <w:t>IV.</w:t>
      </w:r>
      <w:r w:rsidRPr="00BF3B15">
        <w:rPr>
          <w:rFonts w:ascii="Palatino Linotype" w:hAnsi="Palatino Linotype"/>
          <w:i/>
          <w:sz w:val="22"/>
          <w:szCs w:val="22"/>
        </w:rPr>
        <w:t xml:space="preserve"> Llevar los </w:t>
      </w:r>
      <w:r w:rsidRPr="00BF3B15">
        <w:rPr>
          <w:rFonts w:ascii="Palatino Linotype" w:hAnsi="Palatino Linotype"/>
          <w:b/>
          <w:i/>
          <w:sz w:val="22"/>
          <w:szCs w:val="22"/>
        </w:rPr>
        <w:t>registros</w:t>
      </w:r>
      <w:r w:rsidRPr="00BF3B15">
        <w:rPr>
          <w:rFonts w:ascii="Palatino Linotype" w:hAnsi="Palatino Linotype"/>
          <w:i/>
          <w:sz w:val="22"/>
          <w:szCs w:val="22"/>
        </w:rPr>
        <w:t xml:space="preserve"> contables, financieros y administrativos de los ingresos, egresos, e </w:t>
      </w:r>
      <w:r w:rsidRPr="00BF3B15">
        <w:rPr>
          <w:rFonts w:ascii="Palatino Linotype" w:hAnsi="Palatino Linotype"/>
          <w:b/>
          <w:i/>
          <w:sz w:val="22"/>
          <w:szCs w:val="22"/>
        </w:rPr>
        <w:t>inventarios</w:t>
      </w:r>
      <w:r w:rsidRPr="00BF3B15">
        <w:rPr>
          <w:rFonts w:ascii="Palatino Linotype" w:hAnsi="Palatino Linotype"/>
          <w:i/>
          <w:sz w:val="22"/>
          <w:szCs w:val="22"/>
        </w:rPr>
        <w:t>;</w:t>
      </w:r>
    </w:p>
    <w:p w:rsidR="002017FF"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w:t>
      </w:r>
    </w:p>
    <w:p w:rsidR="0089171D" w:rsidRPr="00BF3B15" w:rsidRDefault="0089171D" w:rsidP="0089171D">
      <w:pPr>
        <w:ind w:left="851" w:right="902"/>
        <w:jc w:val="both"/>
        <w:rPr>
          <w:rFonts w:ascii="Palatino Linotype" w:hAnsi="Palatino Linotype"/>
          <w:i/>
          <w:sz w:val="22"/>
          <w:szCs w:val="22"/>
        </w:rPr>
      </w:pPr>
      <w:r w:rsidRPr="00BF3B15">
        <w:rPr>
          <w:rFonts w:ascii="Palatino Linotype" w:hAnsi="Palatino Linotype"/>
          <w:i/>
          <w:sz w:val="22"/>
          <w:szCs w:val="22"/>
        </w:rPr>
        <w:t>(Énfasis añadido)</w:t>
      </w:r>
    </w:p>
    <w:p w:rsidR="002017FF" w:rsidRPr="00BF3B15" w:rsidRDefault="002017FF" w:rsidP="008B45CD">
      <w:pPr>
        <w:spacing w:before="100" w:beforeAutospacing="1" w:after="100" w:afterAutospacing="1" w:line="360" w:lineRule="auto"/>
        <w:ind w:right="51"/>
        <w:jc w:val="both"/>
        <w:rPr>
          <w:rFonts w:ascii="Palatino Linotype" w:hAnsi="Palatino Linotype"/>
        </w:rPr>
      </w:pPr>
      <w:r w:rsidRPr="00BF3B15">
        <w:rPr>
          <w:rFonts w:ascii="Palatino Linotype" w:hAnsi="Palatino Linotype"/>
        </w:rPr>
        <w:t xml:space="preserve">De lo anterior, tenemos que </w:t>
      </w:r>
      <w:r w:rsidRPr="00BF3B15">
        <w:rPr>
          <w:rFonts w:ascii="Palatino Linotype" w:hAnsi="Palatino Linotype"/>
          <w:b/>
        </w:rPr>
        <w:t>EL SUJETO OBLIGADO</w:t>
      </w:r>
      <w:r w:rsidRPr="00BF3B15">
        <w:rPr>
          <w:rFonts w:ascii="Palatino Linotype" w:hAnsi="Palatino Linotype"/>
        </w:rPr>
        <w:t>, para el ejercicio de sus actividades, cuenta con las dependencias de la administración pública municipal centralizada, y que de las cuales se encuentran la Tesorería y la Secretaría del Ayuntamiento, quienes dentro de sus funciones y atribuciones, se encargan de llevar el registro de bienes muebles e inmuebles propiedad del mismo, considera</w:t>
      </w:r>
      <w:r w:rsidR="008B45CD" w:rsidRPr="00BF3B15">
        <w:rPr>
          <w:rFonts w:ascii="Palatino Linotype" w:hAnsi="Palatino Linotype"/>
        </w:rPr>
        <w:t>n</w:t>
      </w:r>
      <w:r w:rsidRPr="00BF3B15">
        <w:rPr>
          <w:rFonts w:ascii="Palatino Linotype" w:hAnsi="Palatino Linotype"/>
        </w:rPr>
        <w:t>do éstos como parte de la Hacienda Pública Municipal.</w:t>
      </w:r>
    </w:p>
    <w:p w:rsidR="008B45CD" w:rsidRPr="00BF3B15" w:rsidRDefault="008B45CD" w:rsidP="008B45CD">
      <w:pPr>
        <w:spacing w:before="100" w:beforeAutospacing="1" w:after="100" w:afterAutospacing="1" w:line="360" w:lineRule="auto"/>
        <w:ind w:right="51"/>
        <w:jc w:val="both"/>
        <w:rPr>
          <w:rFonts w:ascii="Palatino Linotype" w:hAnsi="Palatino Linotype"/>
        </w:rPr>
      </w:pPr>
      <w:r w:rsidRPr="00BF3B15">
        <w:rPr>
          <w:rFonts w:ascii="Palatino Linotype" w:hAnsi="Palatino Linotype"/>
        </w:rPr>
        <w:t>Por lo que, atendiendo a la solicitud de información en estudio, de manera enunciativa más no limitativa</w:t>
      </w:r>
      <w:r w:rsidR="0089171D" w:rsidRPr="00BF3B15">
        <w:rPr>
          <w:rFonts w:ascii="Palatino Linotype" w:hAnsi="Palatino Linotype"/>
        </w:rPr>
        <w:t>,</w:t>
      </w:r>
      <w:r w:rsidRPr="00BF3B15">
        <w:rPr>
          <w:rFonts w:ascii="Palatino Linotype" w:hAnsi="Palatino Linotype"/>
        </w:rPr>
        <w:t xml:space="preserve"> serían los Servidores Públicos Habilitados competentes, que </w:t>
      </w:r>
      <w:r w:rsidRPr="00BF3B15">
        <w:rPr>
          <w:rFonts w:ascii="Palatino Linotype" w:hAnsi="Palatino Linotype"/>
        </w:rPr>
        <w:lastRenderedPageBreak/>
        <w:t xml:space="preserve">pudieran tener la información requerida por </w:t>
      </w:r>
      <w:r w:rsidRPr="00BF3B15">
        <w:rPr>
          <w:rFonts w:ascii="Palatino Linotype" w:hAnsi="Palatino Linotype"/>
          <w:b/>
        </w:rPr>
        <w:t xml:space="preserve">LA RECURRENTE, </w:t>
      </w:r>
      <w:r w:rsidRPr="00BF3B15">
        <w:rPr>
          <w:rFonts w:ascii="Palatino Linotype" w:hAnsi="Palatino Linotype"/>
        </w:rPr>
        <w:t>cabe destacar además que el patrimonio es el conjunto de recursos financieros y patrimoniales de qu</w:t>
      </w:r>
      <w:r w:rsidR="0089171D" w:rsidRPr="00BF3B15">
        <w:rPr>
          <w:rFonts w:ascii="Palatino Linotype" w:hAnsi="Palatino Linotype"/>
        </w:rPr>
        <w:t>e dispone el Gobierno Municipal</w:t>
      </w:r>
      <w:r w:rsidRPr="00BF3B15">
        <w:rPr>
          <w:rFonts w:ascii="Palatino Linotype" w:hAnsi="Palatino Linotype"/>
        </w:rPr>
        <w:t xml:space="preserve"> y que los bienes muebles propiedad del Municipio son</w:t>
      </w:r>
      <w:r w:rsidR="0089171D" w:rsidRPr="00BF3B15">
        <w:rPr>
          <w:rFonts w:ascii="Palatino Linotype" w:hAnsi="Palatino Linotype"/>
        </w:rPr>
        <w:t xml:space="preserve"> destinados al servicio público;</w:t>
      </w:r>
      <w:r w:rsidRPr="00BF3B15">
        <w:rPr>
          <w:rFonts w:ascii="Palatino Linotype" w:hAnsi="Palatino Linotype"/>
        </w:rPr>
        <w:t xml:space="preserve"> y que</w:t>
      </w:r>
      <w:r w:rsidR="0089171D" w:rsidRPr="00BF3B15">
        <w:rPr>
          <w:rFonts w:ascii="Palatino Linotype" w:hAnsi="Palatino Linotype"/>
        </w:rPr>
        <w:t>,</w:t>
      </w:r>
      <w:r w:rsidRPr="00BF3B15">
        <w:rPr>
          <w:rFonts w:ascii="Palatino Linotype" w:hAnsi="Palatino Linotype"/>
        </w:rPr>
        <w:t xml:space="preserve"> de entre éste</w:t>
      </w:r>
      <w:r w:rsidR="0089171D" w:rsidRPr="00BF3B15">
        <w:rPr>
          <w:rFonts w:ascii="Palatino Linotype" w:hAnsi="Palatino Linotype"/>
        </w:rPr>
        <w:t>,</w:t>
      </w:r>
      <w:r w:rsidRPr="00BF3B15">
        <w:rPr>
          <w:rFonts w:ascii="Palatino Linotype" w:hAnsi="Palatino Linotype"/>
        </w:rPr>
        <w:t xml:space="preserve"> se encuentra la seguridad pública, más aun, tienen la obligación de llevar un registro patrimonial; esto es, la descripción clara de cada uno de ellos.</w:t>
      </w:r>
    </w:p>
    <w:p w:rsidR="00D55ADC" w:rsidRPr="00BF3B15" w:rsidRDefault="00D55ADC" w:rsidP="00D55ADC">
      <w:pPr>
        <w:tabs>
          <w:tab w:val="right" w:leader="dot" w:pos="8505"/>
        </w:tabs>
        <w:spacing w:before="100" w:beforeAutospacing="1" w:after="100" w:afterAutospacing="1" w:line="360" w:lineRule="auto"/>
        <w:jc w:val="both"/>
        <w:rPr>
          <w:rStyle w:val="apple-style-span"/>
          <w:rFonts w:ascii="Palatino Linotype" w:hAnsi="Palatino Linotype" w:cs="Arial"/>
          <w:color w:val="000000"/>
        </w:rPr>
      </w:pPr>
      <w:r w:rsidRPr="00BF3B15">
        <w:rPr>
          <w:rFonts w:ascii="Palatino Linotype" w:hAnsi="Palatino Linotype"/>
          <w:color w:val="000000"/>
        </w:rPr>
        <w:t xml:space="preserve">Al respecto, conviene precisar que, los Municipios del Estado de México, son Sujetos de Fiscalización de conformidad con el numeral 4, fracción II de </w:t>
      </w:r>
      <w:r w:rsidRPr="00BF3B15">
        <w:rPr>
          <w:rStyle w:val="apple-style-span"/>
          <w:rFonts w:ascii="Palatino Linotype" w:hAnsi="Palatino Linotype" w:cs="Arial"/>
          <w:color w:val="000000"/>
        </w:rPr>
        <w:t>Ley de Fiscalización Superior del Estado de México</w:t>
      </w:r>
      <w:r w:rsidRPr="00BF3B15">
        <w:rPr>
          <w:rStyle w:val="Refdenotaalpie"/>
          <w:rFonts w:ascii="Palatino Linotype" w:hAnsi="Palatino Linotype" w:cs="Arial"/>
          <w:color w:val="000000"/>
        </w:rPr>
        <w:footnoteReference w:id="6"/>
      </w:r>
      <w:r w:rsidRPr="00BF3B15">
        <w:rPr>
          <w:rStyle w:val="apple-style-span"/>
          <w:rFonts w:ascii="Palatino Linotype" w:hAnsi="Palatino Linotype" w:cs="Arial"/>
          <w:color w:val="000000"/>
        </w:rPr>
        <w:t xml:space="preserve">; razón por la cual, el Órgano Superior de Fiscalización de ésta Entidad, emite los </w:t>
      </w:r>
      <w:r w:rsidRPr="00BF3B15">
        <w:rPr>
          <w:rStyle w:val="apple-style-span"/>
          <w:rFonts w:ascii="Palatino Linotype" w:hAnsi="Palatino Linotype" w:cs="Arial"/>
          <w:b/>
          <w:color w:val="000000"/>
        </w:rPr>
        <w:t>Lineamientos para la Integración del Informe Mensual</w:t>
      </w:r>
      <w:r w:rsidRPr="00BF3B15">
        <w:rPr>
          <w:rStyle w:val="apple-style-span"/>
          <w:rFonts w:ascii="Palatino Linotype" w:hAnsi="Palatino Linotype" w:cs="Arial"/>
          <w:color w:val="000000"/>
        </w:rPr>
        <w:t xml:space="preserve">, en términos la fracción XI del artículo 8 de la Ley de Fiscalización Superior del Estado de México, que señala: </w:t>
      </w:r>
    </w:p>
    <w:p w:rsidR="00D55ADC" w:rsidRPr="00BF3B15" w:rsidRDefault="00D55ADC" w:rsidP="00D55ADC">
      <w:pPr>
        <w:autoSpaceDE w:val="0"/>
        <w:autoSpaceDN w:val="0"/>
        <w:adjustRightInd w:val="0"/>
        <w:ind w:left="851" w:right="899"/>
        <w:jc w:val="both"/>
        <w:rPr>
          <w:rFonts w:ascii="Palatino Linotype" w:hAnsi="Palatino Linotype" w:cs="Arial"/>
          <w:i/>
          <w:sz w:val="22"/>
          <w:szCs w:val="22"/>
        </w:rPr>
      </w:pPr>
      <w:r w:rsidRPr="00BF3B15">
        <w:rPr>
          <w:rFonts w:ascii="Palatino Linotype" w:hAnsi="Palatino Linotype" w:cs="Arial"/>
          <w:b/>
          <w:bCs/>
          <w:i/>
          <w:sz w:val="22"/>
          <w:szCs w:val="22"/>
        </w:rPr>
        <w:t xml:space="preserve">“Artículo 8. </w:t>
      </w:r>
      <w:r w:rsidRPr="00BF3B15">
        <w:rPr>
          <w:rFonts w:ascii="Palatino Linotype" w:hAnsi="Palatino Linotype" w:cs="Arial"/>
          <w:i/>
          <w:sz w:val="22"/>
          <w:szCs w:val="22"/>
        </w:rPr>
        <w:t>El Órgano Superior tendrá las siguientes atribuciones:</w:t>
      </w:r>
    </w:p>
    <w:p w:rsidR="00D55ADC" w:rsidRPr="00BF3B15" w:rsidRDefault="00D55ADC" w:rsidP="00D55ADC">
      <w:pPr>
        <w:autoSpaceDE w:val="0"/>
        <w:autoSpaceDN w:val="0"/>
        <w:adjustRightInd w:val="0"/>
        <w:ind w:left="851" w:right="899"/>
        <w:jc w:val="both"/>
        <w:rPr>
          <w:rFonts w:ascii="Palatino Linotype" w:hAnsi="Palatino Linotype" w:cs="Arial"/>
          <w:i/>
          <w:sz w:val="22"/>
          <w:szCs w:val="22"/>
        </w:rPr>
      </w:pPr>
      <w:r w:rsidRPr="00BF3B15">
        <w:rPr>
          <w:rFonts w:ascii="Palatino Linotype" w:hAnsi="Palatino Linotype" w:cs="Arial"/>
          <w:i/>
          <w:sz w:val="22"/>
          <w:szCs w:val="22"/>
        </w:rPr>
        <w:t>…</w:t>
      </w:r>
    </w:p>
    <w:p w:rsidR="00D55ADC" w:rsidRPr="00BF3B15" w:rsidRDefault="00D55ADC" w:rsidP="00D55ADC">
      <w:pPr>
        <w:autoSpaceDE w:val="0"/>
        <w:autoSpaceDN w:val="0"/>
        <w:adjustRightInd w:val="0"/>
        <w:ind w:left="851" w:right="899"/>
        <w:jc w:val="both"/>
        <w:rPr>
          <w:rFonts w:ascii="Palatino Linotype" w:hAnsi="Palatino Linotype" w:cs="Arial"/>
          <w:i/>
          <w:sz w:val="22"/>
          <w:szCs w:val="22"/>
        </w:rPr>
      </w:pPr>
      <w:r w:rsidRPr="00BF3B15">
        <w:rPr>
          <w:rFonts w:ascii="Palatino Linotype" w:hAnsi="Palatino Linotype" w:cs="Arial"/>
          <w:b/>
          <w:bCs/>
          <w:i/>
          <w:sz w:val="22"/>
          <w:szCs w:val="22"/>
        </w:rPr>
        <w:t xml:space="preserve">XI. </w:t>
      </w:r>
      <w:r w:rsidRPr="00BF3B15">
        <w:rPr>
          <w:rFonts w:ascii="Palatino Linotype" w:hAnsi="Palatino Linotype" w:cs="Arial"/>
          <w:i/>
          <w:sz w:val="22"/>
          <w:szCs w:val="22"/>
        </w:rPr>
        <w:t>Establecer los lineamientos, criterios, procedimientos, métodos y sistemas para las acciones de control y evaluación, necesarios para la fiscalización de las cuentas públicas y los informes trimestrales;</w:t>
      </w:r>
    </w:p>
    <w:p w:rsidR="00D55ADC" w:rsidRPr="00BF3B15" w:rsidRDefault="00D55ADC" w:rsidP="00D55ADC">
      <w:pPr>
        <w:autoSpaceDE w:val="0"/>
        <w:autoSpaceDN w:val="0"/>
        <w:adjustRightInd w:val="0"/>
        <w:ind w:left="851" w:right="899"/>
        <w:jc w:val="both"/>
        <w:rPr>
          <w:rStyle w:val="apple-style-span"/>
          <w:rFonts w:ascii="Palatino Linotype" w:hAnsi="Palatino Linotype" w:cs="Arial"/>
          <w:bCs/>
          <w:i/>
          <w:color w:val="000000"/>
          <w:sz w:val="22"/>
          <w:szCs w:val="22"/>
        </w:rPr>
      </w:pPr>
      <w:r w:rsidRPr="00BF3B15">
        <w:rPr>
          <w:rStyle w:val="apple-style-span"/>
          <w:rFonts w:ascii="Palatino Linotype" w:hAnsi="Palatino Linotype" w:cs="Arial"/>
          <w:color w:val="000000"/>
          <w:sz w:val="22"/>
          <w:szCs w:val="22"/>
        </w:rPr>
        <w:t>…” (Sic)</w:t>
      </w:r>
    </w:p>
    <w:p w:rsidR="00D55ADC" w:rsidRPr="00BF3B15" w:rsidRDefault="00D55ADC" w:rsidP="00D55ADC">
      <w:pPr>
        <w:spacing w:before="100" w:beforeAutospacing="1" w:after="100" w:afterAutospacing="1" w:line="360" w:lineRule="auto"/>
        <w:jc w:val="both"/>
        <w:rPr>
          <w:rFonts w:ascii="Palatino Linotype" w:hAnsi="Palatino Linotype"/>
        </w:rPr>
      </w:pPr>
      <w:r w:rsidRPr="00BF3B15">
        <w:rPr>
          <w:rFonts w:ascii="Palatino Linotype" w:hAnsi="Palatino Linotype"/>
        </w:rPr>
        <w:t xml:space="preserve">De esta forma, el Órgano Superior de Fiscalización del Estado de México (OSFEM),  emite anualmente dichos Lineamientos para definir los criterios, formatos y documentación necesaria para presentar los informes mensuales,  dentro de los cuales </w:t>
      </w:r>
      <w:r w:rsidRPr="00BF3B15">
        <w:rPr>
          <w:rFonts w:ascii="Palatino Linotype" w:hAnsi="Palatino Linotype"/>
        </w:rPr>
        <w:lastRenderedPageBreak/>
        <w:t>destacan –en relación con el análisis que nos ocupa-, el Disco 4, relativo a la información de nómina.</w:t>
      </w:r>
    </w:p>
    <w:p w:rsidR="00D55ADC" w:rsidRPr="00BF3B15" w:rsidRDefault="00D55ADC" w:rsidP="00D55ADC">
      <w:pPr>
        <w:spacing w:before="100" w:beforeAutospacing="1" w:after="100" w:afterAutospacing="1" w:line="360" w:lineRule="auto"/>
        <w:jc w:val="both"/>
        <w:rPr>
          <w:rFonts w:ascii="Palatino Linotype" w:hAnsi="Palatino Linotype"/>
        </w:rPr>
      </w:pPr>
      <w:r w:rsidRPr="00BF3B15">
        <w:rPr>
          <w:rFonts w:ascii="Palatino Linotype" w:hAnsi="Palatino Linotype"/>
        </w:rPr>
        <w:t>Estos lineamientos son, de observancia general para todos los servidores públicos de las entidades fiscalizables que desempeñen un empleo, cargo o comisión, de cualquier naturaleza en la administración pública municipal y que manejen recursos públicos como lo son los municipios; en atención a ello, el informe mensual deberá ser presentado al Órgano Superior de Fiscalización dentro de los 20 días posteriores al término del mes correspondiente de acuerdo a lo establecido en el artículo 32 de la Ley de Fiscalización Superior del Estado de México, que a la letra dice:</w:t>
      </w:r>
    </w:p>
    <w:p w:rsidR="00D55ADC" w:rsidRPr="00BF3B15" w:rsidRDefault="00D55ADC" w:rsidP="00D55ADC">
      <w:pPr>
        <w:ind w:left="851" w:right="760"/>
        <w:jc w:val="both"/>
        <w:rPr>
          <w:rFonts w:ascii="Palatino Linotype" w:hAnsi="Palatino Linotype"/>
          <w:i/>
          <w:sz w:val="22"/>
          <w:szCs w:val="22"/>
        </w:rPr>
      </w:pPr>
      <w:r w:rsidRPr="00BF3B15">
        <w:rPr>
          <w:rFonts w:ascii="Palatino Linotype" w:hAnsi="Palatino Linotype"/>
          <w:b/>
          <w:i/>
          <w:sz w:val="22"/>
          <w:szCs w:val="22"/>
        </w:rPr>
        <w:t>“Artículo 32.-</w:t>
      </w:r>
      <w:r w:rsidRPr="00BF3B15">
        <w:rPr>
          <w:rFonts w:ascii="Palatino Linotype" w:hAnsi="Palatino Linotype"/>
          <w:i/>
          <w:sz w:val="22"/>
          <w:szCs w:val="22"/>
        </w:rPr>
        <w:t xml:space="preserve"> El Gobernador del Estado, por conducto del titular de la dependencia competente, presentará a la Legislatura la cuenta pública del Gobierno del Estado del ejercicio fiscal inmediato anterior, a más tardar el quince de mayo de cada año.</w:t>
      </w:r>
    </w:p>
    <w:p w:rsidR="00D55ADC" w:rsidRPr="00BF3B15" w:rsidRDefault="00D55ADC" w:rsidP="00D55ADC">
      <w:pPr>
        <w:ind w:left="851" w:right="760"/>
        <w:jc w:val="both"/>
        <w:rPr>
          <w:rFonts w:ascii="Palatino Linotype" w:hAnsi="Palatino Linotype"/>
          <w:b/>
          <w:i/>
          <w:sz w:val="22"/>
          <w:szCs w:val="22"/>
        </w:rPr>
      </w:pPr>
    </w:p>
    <w:p w:rsidR="00D55ADC" w:rsidRPr="00BF3B15" w:rsidRDefault="00D55ADC" w:rsidP="00D55ADC">
      <w:pPr>
        <w:ind w:left="851" w:right="760"/>
        <w:jc w:val="both"/>
        <w:rPr>
          <w:rFonts w:ascii="Palatino Linotype" w:hAnsi="Palatino Linotype"/>
          <w:b/>
          <w:i/>
          <w:sz w:val="22"/>
          <w:szCs w:val="22"/>
        </w:rPr>
      </w:pPr>
      <w:r w:rsidRPr="00BF3B15">
        <w:rPr>
          <w:rFonts w:ascii="Palatino Linotype" w:hAnsi="Palatino Linotype"/>
          <w:b/>
          <w:i/>
          <w:sz w:val="22"/>
          <w:szCs w:val="22"/>
        </w:rPr>
        <w:t>Los Presidentes Municipales presentarán a la Legislatura las cuentas públicas anuales</w:t>
      </w:r>
      <w:r w:rsidRPr="00BF3B15">
        <w:rPr>
          <w:rFonts w:ascii="Palatino Linotype" w:hAnsi="Palatino Linotype"/>
          <w:i/>
          <w:sz w:val="22"/>
          <w:szCs w:val="22"/>
        </w:rPr>
        <w:t xml:space="preserve"> de sus respectivos municipios, del ejercicio fiscal inmediato anterior, </w:t>
      </w:r>
      <w:r w:rsidRPr="00BF3B15">
        <w:rPr>
          <w:rFonts w:ascii="Palatino Linotype" w:hAnsi="Palatino Linotype"/>
          <w:b/>
          <w:i/>
          <w:sz w:val="22"/>
          <w:szCs w:val="22"/>
        </w:rPr>
        <w:t>dentro de los quince primeros días del mes de marzo</w:t>
      </w:r>
      <w:r w:rsidRPr="00BF3B15">
        <w:rPr>
          <w:rFonts w:ascii="Palatino Linotype" w:hAnsi="Palatino Linotype"/>
          <w:i/>
          <w:sz w:val="22"/>
          <w:szCs w:val="22"/>
        </w:rPr>
        <w:t xml:space="preserve"> de cada año; </w:t>
      </w:r>
      <w:r w:rsidRPr="00BF3B15">
        <w:rPr>
          <w:rFonts w:ascii="Palatino Linotype" w:hAnsi="Palatino Linotype"/>
          <w:b/>
          <w:i/>
          <w:sz w:val="22"/>
          <w:szCs w:val="22"/>
        </w:rPr>
        <w:t>asimism</w:t>
      </w:r>
      <w:r w:rsidRPr="00BF3B15">
        <w:rPr>
          <w:rFonts w:ascii="Palatino Linotype" w:hAnsi="Palatino Linotype"/>
          <w:i/>
          <w:sz w:val="22"/>
          <w:szCs w:val="22"/>
        </w:rPr>
        <w:t xml:space="preserve">o, </w:t>
      </w:r>
      <w:r w:rsidRPr="00BF3B15">
        <w:rPr>
          <w:rFonts w:ascii="Palatino Linotype" w:hAnsi="Palatino Linotype"/>
          <w:b/>
          <w:i/>
          <w:sz w:val="22"/>
          <w:szCs w:val="22"/>
        </w:rPr>
        <w:t>los informes mensuales</w:t>
      </w:r>
      <w:r w:rsidRPr="00BF3B15">
        <w:rPr>
          <w:rFonts w:ascii="Palatino Linotype" w:hAnsi="Palatino Linotype"/>
          <w:i/>
          <w:sz w:val="22"/>
          <w:szCs w:val="22"/>
        </w:rPr>
        <w:t xml:space="preserve"> los deberán presentar </w:t>
      </w:r>
      <w:r w:rsidRPr="00BF3B15">
        <w:rPr>
          <w:rFonts w:ascii="Palatino Linotype" w:hAnsi="Palatino Linotype"/>
          <w:b/>
          <w:i/>
          <w:sz w:val="22"/>
          <w:szCs w:val="22"/>
        </w:rPr>
        <w:t>dentro de los veinte días posteriores al término del mes correspondiente.”</w:t>
      </w:r>
    </w:p>
    <w:p w:rsidR="00D55ADC" w:rsidRPr="00BF3B15" w:rsidRDefault="00D55ADC" w:rsidP="00D55ADC">
      <w:pPr>
        <w:ind w:left="851" w:right="760"/>
        <w:jc w:val="both"/>
        <w:rPr>
          <w:rFonts w:ascii="Palatino Linotype" w:hAnsi="Palatino Linotype"/>
          <w:i/>
          <w:sz w:val="22"/>
          <w:szCs w:val="22"/>
        </w:rPr>
      </w:pPr>
      <w:r w:rsidRPr="00BF3B15">
        <w:rPr>
          <w:rFonts w:ascii="Palatino Linotype" w:hAnsi="Palatino Linotype"/>
          <w:i/>
          <w:sz w:val="22"/>
          <w:szCs w:val="22"/>
        </w:rPr>
        <w:t>(Énfasis añadido)</w:t>
      </w:r>
    </w:p>
    <w:p w:rsidR="00D55ADC" w:rsidRPr="00BF3B15" w:rsidRDefault="00D55ADC" w:rsidP="00D55ADC">
      <w:pPr>
        <w:spacing w:before="100" w:beforeAutospacing="1" w:after="100" w:afterAutospacing="1" w:line="360" w:lineRule="auto"/>
        <w:ind w:right="-91"/>
        <w:jc w:val="both"/>
        <w:rPr>
          <w:rFonts w:ascii="Palatino Linotype" w:hAnsi="Palatino Linotype"/>
          <w:color w:val="000000"/>
          <w:lang w:val="es-ES"/>
        </w:rPr>
      </w:pPr>
      <w:r w:rsidRPr="00BF3B15">
        <w:rPr>
          <w:rFonts w:ascii="Palatino Linotype" w:hAnsi="Palatino Linotype"/>
        </w:rPr>
        <w:t xml:space="preserve">Por ello, la información </w:t>
      </w:r>
      <w:r w:rsidRPr="00BF3B15">
        <w:rPr>
          <w:rFonts w:ascii="Palatino Linotype" w:hAnsi="Palatino Linotype"/>
          <w:b/>
        </w:rPr>
        <w:t>documental comprobatoria</w:t>
      </w:r>
      <w:r w:rsidRPr="00BF3B15">
        <w:rPr>
          <w:rFonts w:ascii="Palatino Linotype" w:hAnsi="Palatino Linotype"/>
        </w:rPr>
        <w:t xml:space="preserve">, </w:t>
      </w:r>
      <w:r w:rsidRPr="00BF3B15">
        <w:rPr>
          <w:rFonts w:ascii="Palatino Linotype" w:hAnsi="Palatino Linotype"/>
          <w:b/>
        </w:rPr>
        <w:t>deberá conservarse en los archivos de la entidad fiscalizada –Municipio</w:t>
      </w:r>
      <w:r w:rsidRPr="00BF3B15">
        <w:rPr>
          <w:rFonts w:ascii="Palatino Linotype" w:hAnsi="Palatino Linotype"/>
        </w:rPr>
        <w:t xml:space="preserve">-, en original y debidamente integrada en términos de los lineamientos de referencia, pues son susceptibles de revisión directa por el Órgano Superior de Fiscalización </w:t>
      </w:r>
      <w:r w:rsidRPr="00BF3B15">
        <w:rPr>
          <w:rFonts w:ascii="Palatino Linotype" w:hAnsi="Palatino Linotype"/>
          <w:color w:val="000000"/>
          <w:lang w:val="es-ES"/>
        </w:rPr>
        <w:t>del Estado de México (OSFEM)</w:t>
      </w:r>
      <w:r w:rsidRPr="00BF3B15">
        <w:rPr>
          <w:rFonts w:ascii="Palatino Linotype" w:hAnsi="Palatino Linotype"/>
        </w:rPr>
        <w:t xml:space="preserve">; así que, </w:t>
      </w:r>
      <w:r w:rsidRPr="00BF3B15">
        <w:rPr>
          <w:rFonts w:ascii="Palatino Linotype" w:hAnsi="Palatino Linotype"/>
          <w:color w:val="000000"/>
          <w:lang w:val="es-ES"/>
        </w:rPr>
        <w:t xml:space="preserve">para la Integración del Informe Mensual 2018, dichos lineamientos se encuentran visibles en la página oficial del OSFEM en el sitio de internet </w:t>
      </w:r>
      <w:r w:rsidRPr="00BF3B15">
        <w:rPr>
          <w:rFonts w:ascii="Palatino Linotype" w:hAnsi="Palatino Linotype"/>
          <w:i/>
          <w:spacing w:val="-14"/>
          <w:lang w:val="es-ES"/>
        </w:rPr>
        <w:t>https://www.osfem.gob.mx/04_Normatividad/doc/Normatividad/2018/03_LinElabyPresInfoMenMpal18.pdf</w:t>
      </w:r>
      <w:r w:rsidRPr="00BF3B15">
        <w:rPr>
          <w:rFonts w:ascii="Palatino Linotype" w:hAnsi="Palatino Linotype"/>
          <w:color w:val="000000"/>
          <w:lang w:val="es-ES"/>
        </w:rPr>
        <w:t xml:space="preserve"> destacando que dentro de los informes mensuales que </w:t>
      </w:r>
      <w:r w:rsidRPr="00BF3B15">
        <w:rPr>
          <w:rFonts w:ascii="Palatino Linotype" w:hAnsi="Palatino Linotype"/>
          <w:b/>
          <w:color w:val="000000"/>
          <w:lang w:val="es-ES"/>
        </w:rPr>
        <w:t xml:space="preserve">EL SUJETO OBLIGADO </w:t>
      </w:r>
      <w:r w:rsidRPr="00BF3B15">
        <w:rPr>
          <w:rFonts w:ascii="Palatino Linotype" w:hAnsi="Palatino Linotype"/>
          <w:color w:val="000000"/>
          <w:lang w:val="es-ES"/>
        </w:rPr>
        <w:t xml:space="preserve">tiene </w:t>
      </w:r>
      <w:r w:rsidRPr="00BF3B15">
        <w:rPr>
          <w:rFonts w:ascii="Palatino Linotype" w:hAnsi="Palatino Linotype"/>
          <w:color w:val="000000"/>
          <w:lang w:val="es-ES"/>
        </w:rPr>
        <w:lastRenderedPageBreak/>
        <w:t>la obligación de rendir, se contempla precisamente la presentación de la Información patrimonial y del Inventari</w:t>
      </w:r>
      <w:r w:rsidR="00266946" w:rsidRPr="00BF3B15">
        <w:rPr>
          <w:rFonts w:ascii="Palatino Linotype" w:hAnsi="Palatino Linotype"/>
          <w:color w:val="000000"/>
          <w:lang w:val="es-ES"/>
        </w:rPr>
        <w:t>o General del Parque Vehicular</w:t>
      </w:r>
      <w:r w:rsidRPr="00BF3B15">
        <w:rPr>
          <w:rFonts w:ascii="Palatino Linotype" w:hAnsi="Palatino Linotype"/>
          <w:color w:val="000000"/>
          <w:lang w:val="es-ES"/>
        </w:rPr>
        <w:t xml:space="preserve">, tal y como se muestra en las imágenes siguientes: </w:t>
      </w:r>
    </w:p>
    <w:p w:rsidR="00D55ADC" w:rsidRPr="00BF3B15" w:rsidRDefault="00266946" w:rsidP="00266946">
      <w:pPr>
        <w:tabs>
          <w:tab w:val="right" w:leader="dot" w:pos="8505"/>
        </w:tabs>
        <w:spacing w:before="100" w:beforeAutospacing="1" w:after="100" w:afterAutospacing="1" w:line="360" w:lineRule="auto"/>
        <w:jc w:val="center"/>
        <w:rPr>
          <w:rStyle w:val="apple-style-span"/>
          <w:rFonts w:ascii="Palatino Linotype" w:hAnsi="Palatino Linotype" w:cs="Arial"/>
          <w:bCs/>
          <w:color w:val="000000"/>
        </w:rPr>
      </w:pPr>
      <w:r w:rsidRPr="00BF3B15">
        <w:rPr>
          <w:noProof/>
          <w:lang w:eastAsia="es-MX"/>
        </w:rPr>
        <w:drawing>
          <wp:inline distT="0" distB="0" distL="0" distR="0" wp14:anchorId="1CF2A0A4" wp14:editId="5C5CA2E1">
            <wp:extent cx="4433047" cy="63533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013" t="48181" r="27175" b="43218"/>
                    <a:stretch/>
                  </pic:blipFill>
                  <pic:spPr bwMode="auto">
                    <a:xfrm>
                      <a:off x="0" y="0"/>
                      <a:ext cx="4576419" cy="655878"/>
                    </a:xfrm>
                    <a:prstGeom prst="rect">
                      <a:avLst/>
                    </a:prstGeom>
                    <a:ln>
                      <a:noFill/>
                    </a:ln>
                    <a:extLst>
                      <a:ext uri="{53640926-AAD7-44D8-BBD7-CCE9431645EC}">
                        <a14:shadowObscured xmlns:a14="http://schemas.microsoft.com/office/drawing/2010/main"/>
                      </a:ext>
                    </a:extLst>
                  </pic:spPr>
                </pic:pic>
              </a:graphicData>
            </a:graphic>
          </wp:inline>
        </w:drawing>
      </w:r>
    </w:p>
    <w:p w:rsidR="00D55ADC" w:rsidRPr="00BF3B15" w:rsidRDefault="00305715" w:rsidP="00266946">
      <w:pPr>
        <w:spacing w:before="100" w:beforeAutospacing="1" w:after="100" w:afterAutospacing="1" w:line="360" w:lineRule="auto"/>
        <w:ind w:right="51"/>
        <w:jc w:val="center"/>
        <w:rPr>
          <w:rFonts w:ascii="Palatino Linotype" w:hAnsi="Palatino Linotype"/>
        </w:rPr>
      </w:pPr>
      <w:r w:rsidRPr="00BF3B15">
        <w:rPr>
          <w:noProof/>
          <w:lang w:eastAsia="es-MX"/>
        </w:rPr>
        <mc:AlternateContent>
          <mc:Choice Requires="wps">
            <w:drawing>
              <wp:anchor distT="0" distB="0" distL="114300" distR="114300" simplePos="0" relativeHeight="251680768" behindDoc="0" locked="0" layoutInCell="1" allowOverlap="1">
                <wp:simplePos x="0" y="0"/>
                <wp:positionH relativeFrom="column">
                  <wp:posOffset>148961</wp:posOffset>
                </wp:positionH>
                <wp:positionV relativeFrom="paragraph">
                  <wp:posOffset>4511650</wp:posOffset>
                </wp:positionV>
                <wp:extent cx="5628904" cy="1371600"/>
                <wp:effectExtent l="19050" t="19050" r="29210" b="19050"/>
                <wp:wrapNone/>
                <wp:docPr id="50" name="Conector recto 50"/>
                <wp:cNvGraphicFramePr/>
                <a:graphic xmlns:a="http://schemas.openxmlformats.org/drawingml/2006/main">
                  <a:graphicData uri="http://schemas.microsoft.com/office/word/2010/wordprocessingShape">
                    <wps:wsp>
                      <wps:cNvCnPr/>
                      <wps:spPr>
                        <a:xfrm>
                          <a:off x="0" y="0"/>
                          <a:ext cx="5628904" cy="137160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3D7BD5" id="Conector recto 50"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1.75pt,355.25pt" to="454.95pt,4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" strokecolor="#5b9bd5 [3204]" strokeweight="2.25pt">
                <v:stroke joinstyle="miter"/>
              </v:line>
            </w:pict>
          </mc:Fallback>
        </mc:AlternateContent>
      </w:r>
      <w:r w:rsidR="00266946" w:rsidRPr="00BF3B15">
        <w:rPr>
          <w:noProof/>
          <w:lang w:eastAsia="es-MX"/>
        </w:rPr>
        <mc:AlternateContent>
          <mc:Choice Requires="wps">
            <w:drawing>
              <wp:anchor distT="0" distB="0" distL="114300" distR="114300" simplePos="0" relativeHeight="251678720" behindDoc="0" locked="0" layoutInCell="1" allowOverlap="1">
                <wp:simplePos x="0" y="0"/>
                <wp:positionH relativeFrom="margin">
                  <wp:align>left</wp:align>
                </wp:positionH>
                <wp:positionV relativeFrom="paragraph">
                  <wp:posOffset>3895337</wp:posOffset>
                </wp:positionV>
                <wp:extent cx="5723906" cy="248421"/>
                <wp:effectExtent l="19050" t="19050" r="10160" b="18415"/>
                <wp:wrapNone/>
                <wp:docPr id="40" name="Rectángulo 40"/>
                <wp:cNvGraphicFramePr/>
                <a:graphic xmlns:a="http://schemas.openxmlformats.org/drawingml/2006/main">
                  <a:graphicData uri="http://schemas.microsoft.com/office/word/2010/wordprocessingShape">
                    <wps:wsp>
                      <wps:cNvSpPr/>
                      <wps:spPr>
                        <a:xfrm>
                          <a:off x="0" y="0"/>
                          <a:ext cx="5723906" cy="248421"/>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303105" id="Rectángulo 40" o:spid="_x0000_s1026" style="position:absolute;margin-left:0;margin-top:306.7pt;width:450.7pt;height:19.55pt;z-index:2516787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" filled="f" strokecolor="#1f4d78 [1604]" strokeweight="2.25pt">
                <w10:wrap anchorx="margin"/>
              </v:rect>
            </w:pict>
          </mc:Fallback>
        </mc:AlternateContent>
      </w:r>
      <w:r w:rsidR="00D55ADC" w:rsidRPr="00BF3B15">
        <w:rPr>
          <w:noProof/>
          <w:lang w:eastAsia="es-MX"/>
        </w:rPr>
        <w:drawing>
          <wp:inline distT="0" distB="0" distL="0" distR="0" wp14:anchorId="60C7FF50" wp14:editId="492E34B8">
            <wp:extent cx="5551714" cy="45002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321" t="10868" r="13304" b="13043"/>
                    <a:stretch/>
                  </pic:blipFill>
                  <pic:spPr bwMode="auto">
                    <a:xfrm>
                      <a:off x="0" y="0"/>
                      <a:ext cx="5589980" cy="4531263"/>
                    </a:xfrm>
                    <a:prstGeom prst="rect">
                      <a:avLst/>
                    </a:prstGeom>
                    <a:ln>
                      <a:noFill/>
                    </a:ln>
                    <a:extLst>
                      <a:ext uri="{53640926-AAD7-44D8-BBD7-CCE9431645EC}">
                        <a14:shadowObscured xmlns:a14="http://schemas.microsoft.com/office/drawing/2010/main"/>
                      </a:ext>
                    </a:extLst>
                  </pic:spPr>
                </pic:pic>
              </a:graphicData>
            </a:graphic>
          </wp:inline>
        </w:drawing>
      </w:r>
    </w:p>
    <w:p w:rsidR="00305715" w:rsidRPr="00BF3B15" w:rsidRDefault="00305715" w:rsidP="00266946">
      <w:pPr>
        <w:spacing w:before="100" w:beforeAutospacing="1" w:after="100" w:afterAutospacing="1" w:line="360" w:lineRule="auto"/>
        <w:ind w:right="51"/>
        <w:jc w:val="center"/>
        <w:rPr>
          <w:rFonts w:ascii="Palatino Linotype" w:hAnsi="Palatino Linotype"/>
        </w:rPr>
      </w:pPr>
    </w:p>
    <w:p w:rsidR="00266946" w:rsidRPr="00BF3B15" w:rsidRDefault="00266946" w:rsidP="00266946">
      <w:pPr>
        <w:spacing w:before="100" w:beforeAutospacing="1" w:after="100" w:afterAutospacing="1" w:line="360" w:lineRule="auto"/>
        <w:ind w:right="51"/>
        <w:jc w:val="center"/>
        <w:rPr>
          <w:rFonts w:ascii="Palatino Linotype" w:hAnsi="Palatino Linotype"/>
        </w:rPr>
      </w:pPr>
      <w:r w:rsidRPr="00BF3B15">
        <w:rPr>
          <w:noProof/>
          <w:lang w:eastAsia="es-MX"/>
        </w:rPr>
        <w:lastRenderedPageBreak/>
        <w:drawing>
          <wp:inline distT="0" distB="0" distL="0" distR="0" wp14:anchorId="27A93BE2" wp14:editId="0F381669">
            <wp:extent cx="4880610" cy="97377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922" t="7139" r="24438" b="75829"/>
                    <a:stretch/>
                  </pic:blipFill>
                  <pic:spPr bwMode="auto">
                    <a:xfrm>
                      <a:off x="0" y="0"/>
                      <a:ext cx="5189419" cy="1035389"/>
                    </a:xfrm>
                    <a:prstGeom prst="rect">
                      <a:avLst/>
                    </a:prstGeom>
                    <a:ln>
                      <a:noFill/>
                    </a:ln>
                    <a:extLst>
                      <a:ext uri="{53640926-AAD7-44D8-BBD7-CCE9431645EC}">
                        <a14:shadowObscured xmlns:a14="http://schemas.microsoft.com/office/drawing/2010/main"/>
                      </a:ext>
                    </a:extLst>
                  </pic:spPr>
                </pic:pic>
              </a:graphicData>
            </a:graphic>
          </wp:inline>
        </w:drawing>
      </w:r>
    </w:p>
    <w:p w:rsidR="00266946" w:rsidRPr="00BF3B15" w:rsidRDefault="00266946" w:rsidP="00266946">
      <w:pPr>
        <w:spacing w:before="100" w:beforeAutospacing="1" w:after="100" w:afterAutospacing="1" w:line="360" w:lineRule="auto"/>
        <w:ind w:right="51"/>
        <w:jc w:val="center"/>
        <w:rPr>
          <w:rFonts w:ascii="Palatino Linotype" w:hAnsi="Palatino Linotype"/>
        </w:rPr>
      </w:pPr>
      <w:r w:rsidRPr="00BF3B15">
        <w:rPr>
          <w:noProof/>
          <w:lang w:eastAsia="es-MX"/>
        </w:rPr>
        <w:drawing>
          <wp:inline distT="0" distB="0" distL="0" distR="0" wp14:anchorId="1A2C83E0" wp14:editId="014A0239">
            <wp:extent cx="4960620" cy="1045029"/>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381" t="26454" r="26446" b="58958"/>
                    <a:stretch/>
                  </pic:blipFill>
                  <pic:spPr bwMode="auto">
                    <a:xfrm>
                      <a:off x="0" y="0"/>
                      <a:ext cx="5094948" cy="1073327"/>
                    </a:xfrm>
                    <a:prstGeom prst="rect">
                      <a:avLst/>
                    </a:prstGeom>
                    <a:ln>
                      <a:noFill/>
                    </a:ln>
                    <a:extLst>
                      <a:ext uri="{53640926-AAD7-44D8-BBD7-CCE9431645EC}">
                        <a14:shadowObscured xmlns:a14="http://schemas.microsoft.com/office/drawing/2010/main"/>
                      </a:ext>
                    </a:extLst>
                  </pic:spPr>
                </pic:pic>
              </a:graphicData>
            </a:graphic>
          </wp:inline>
        </w:drawing>
      </w:r>
    </w:p>
    <w:p w:rsidR="00266946" w:rsidRPr="00BF3B15" w:rsidRDefault="00266946" w:rsidP="00266946">
      <w:pPr>
        <w:spacing w:before="100" w:beforeAutospacing="1" w:after="100" w:afterAutospacing="1" w:line="360" w:lineRule="auto"/>
        <w:ind w:right="51"/>
        <w:jc w:val="center"/>
        <w:rPr>
          <w:rFonts w:ascii="Palatino Linotype" w:hAnsi="Palatino Linotype"/>
        </w:rPr>
      </w:pPr>
      <w:r w:rsidRPr="00BF3B15">
        <w:rPr>
          <w:noProof/>
          <w:lang w:eastAsia="es-MX"/>
        </w:rPr>
        <w:drawing>
          <wp:inline distT="0" distB="0" distL="0" distR="0" wp14:anchorId="23D88B47" wp14:editId="75DE4481">
            <wp:extent cx="5561098" cy="2078182"/>
            <wp:effectExtent l="0" t="0" r="190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74" t="28559" r="1509" b="33310"/>
                    <a:stretch/>
                  </pic:blipFill>
                  <pic:spPr bwMode="auto">
                    <a:xfrm>
                      <a:off x="0" y="0"/>
                      <a:ext cx="5609035" cy="2096096"/>
                    </a:xfrm>
                    <a:prstGeom prst="rect">
                      <a:avLst/>
                    </a:prstGeom>
                    <a:ln>
                      <a:noFill/>
                    </a:ln>
                    <a:extLst>
                      <a:ext uri="{53640926-AAD7-44D8-BBD7-CCE9431645EC}">
                        <a14:shadowObscured xmlns:a14="http://schemas.microsoft.com/office/drawing/2010/main"/>
                      </a:ext>
                    </a:extLst>
                  </pic:spPr>
                </pic:pic>
              </a:graphicData>
            </a:graphic>
          </wp:inline>
        </w:drawing>
      </w:r>
    </w:p>
    <w:p w:rsidR="009C7964" w:rsidRPr="00BF3B15" w:rsidRDefault="009C7964" w:rsidP="00266946">
      <w:pPr>
        <w:spacing w:before="100" w:beforeAutospacing="1" w:after="100" w:afterAutospacing="1" w:line="360" w:lineRule="auto"/>
        <w:ind w:right="51"/>
        <w:jc w:val="center"/>
        <w:rPr>
          <w:rFonts w:ascii="Palatino Linotype" w:hAnsi="Palatino Linotype"/>
        </w:rPr>
      </w:pPr>
      <w:r w:rsidRPr="00BF3B15">
        <w:rPr>
          <w:noProof/>
          <w:lang w:eastAsia="es-MX"/>
        </w:rPr>
        <w:drawing>
          <wp:inline distT="0" distB="0" distL="0" distR="0" wp14:anchorId="658A1683" wp14:editId="78B22715">
            <wp:extent cx="5718392" cy="985652"/>
            <wp:effectExtent l="0" t="0" r="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31" t="33904" r="436" b="49871"/>
                    <a:stretch/>
                  </pic:blipFill>
                  <pic:spPr bwMode="auto">
                    <a:xfrm>
                      <a:off x="0" y="0"/>
                      <a:ext cx="5794723" cy="998809"/>
                    </a:xfrm>
                    <a:prstGeom prst="rect">
                      <a:avLst/>
                    </a:prstGeom>
                    <a:ln>
                      <a:noFill/>
                    </a:ln>
                    <a:extLst>
                      <a:ext uri="{53640926-AAD7-44D8-BBD7-CCE9431645EC}">
                        <a14:shadowObscured xmlns:a14="http://schemas.microsoft.com/office/drawing/2010/main"/>
                      </a:ext>
                    </a:extLst>
                  </pic:spPr>
                </pic:pic>
              </a:graphicData>
            </a:graphic>
          </wp:inline>
        </w:drawing>
      </w:r>
    </w:p>
    <w:p w:rsidR="009C7964" w:rsidRPr="00BF3B15" w:rsidRDefault="009C7964" w:rsidP="00266946">
      <w:pPr>
        <w:spacing w:before="100" w:beforeAutospacing="1" w:after="100" w:afterAutospacing="1" w:line="360" w:lineRule="auto"/>
        <w:ind w:right="51"/>
        <w:jc w:val="center"/>
        <w:rPr>
          <w:rFonts w:ascii="Palatino Linotype" w:hAnsi="Palatino Linotype"/>
        </w:rPr>
      </w:pPr>
      <w:r w:rsidRPr="00BF3B15">
        <w:rPr>
          <w:noProof/>
          <w:lang w:eastAsia="es-MX"/>
        </w:rPr>
        <w:drawing>
          <wp:inline distT="0" distB="0" distL="0" distR="0" wp14:anchorId="7F88C1D3" wp14:editId="1A0C1169">
            <wp:extent cx="4394758" cy="1039091"/>
            <wp:effectExtent l="0" t="0" r="635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256" t="34392" r="21146" b="50520"/>
                    <a:stretch/>
                  </pic:blipFill>
                  <pic:spPr bwMode="auto">
                    <a:xfrm>
                      <a:off x="0" y="0"/>
                      <a:ext cx="4485436" cy="1060531"/>
                    </a:xfrm>
                    <a:prstGeom prst="rect">
                      <a:avLst/>
                    </a:prstGeom>
                    <a:ln>
                      <a:noFill/>
                    </a:ln>
                    <a:extLst>
                      <a:ext uri="{53640926-AAD7-44D8-BBD7-CCE9431645EC}">
                        <a14:shadowObscured xmlns:a14="http://schemas.microsoft.com/office/drawing/2010/main"/>
                      </a:ext>
                    </a:extLst>
                  </pic:spPr>
                </pic:pic>
              </a:graphicData>
            </a:graphic>
          </wp:inline>
        </w:drawing>
      </w:r>
    </w:p>
    <w:p w:rsidR="009C7964" w:rsidRPr="00BF3B15" w:rsidRDefault="009C7964" w:rsidP="00266946">
      <w:pPr>
        <w:spacing w:before="100" w:beforeAutospacing="1" w:after="100" w:afterAutospacing="1" w:line="360" w:lineRule="auto"/>
        <w:ind w:right="51"/>
        <w:jc w:val="center"/>
        <w:rPr>
          <w:rFonts w:ascii="Palatino Linotype" w:hAnsi="Palatino Linotype"/>
        </w:rPr>
      </w:pPr>
      <w:r w:rsidRPr="00BF3B15">
        <w:rPr>
          <w:noProof/>
          <w:lang w:eastAsia="es-MX"/>
        </w:rPr>
        <w:lastRenderedPageBreak/>
        <mc:AlternateContent>
          <mc:Choice Requires="wps">
            <w:drawing>
              <wp:anchor distT="0" distB="0" distL="114300" distR="114300" simplePos="0" relativeHeight="251679744" behindDoc="0" locked="0" layoutInCell="1" allowOverlap="1">
                <wp:simplePos x="0" y="0"/>
                <wp:positionH relativeFrom="column">
                  <wp:posOffset>208338</wp:posOffset>
                </wp:positionH>
                <wp:positionV relativeFrom="paragraph">
                  <wp:posOffset>2133080</wp:posOffset>
                </wp:positionV>
                <wp:extent cx="4037610" cy="314697"/>
                <wp:effectExtent l="19050" t="19050" r="20320" b="28575"/>
                <wp:wrapNone/>
                <wp:docPr id="49" name="Rectángulo 49"/>
                <wp:cNvGraphicFramePr/>
                <a:graphic xmlns:a="http://schemas.openxmlformats.org/drawingml/2006/main">
                  <a:graphicData uri="http://schemas.microsoft.com/office/word/2010/wordprocessingShape">
                    <wps:wsp>
                      <wps:cNvSpPr/>
                      <wps:spPr>
                        <a:xfrm>
                          <a:off x="0" y="0"/>
                          <a:ext cx="4037610" cy="314697"/>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63AF9" id="Rectángulo 49" o:spid="_x0000_s1026" style="position:absolute;margin-left:16.4pt;margin-top:167.95pt;width:317.9pt;height:2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" filled="f" strokecolor="#1f4d78 [1604]" strokeweight="2.25pt"/>
            </w:pict>
          </mc:Fallback>
        </mc:AlternateContent>
      </w:r>
      <w:r w:rsidRPr="00BF3B15">
        <w:rPr>
          <w:noProof/>
          <w:lang w:eastAsia="es-MX"/>
        </w:rPr>
        <w:drawing>
          <wp:inline distT="0" distB="0" distL="0" distR="0" wp14:anchorId="74430466" wp14:editId="406895B0">
            <wp:extent cx="5397335" cy="249936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338" t="14763" r="18415" b="47921"/>
                    <a:stretch/>
                  </pic:blipFill>
                  <pic:spPr bwMode="auto">
                    <a:xfrm>
                      <a:off x="0" y="0"/>
                      <a:ext cx="5476744" cy="2536132"/>
                    </a:xfrm>
                    <a:prstGeom prst="rect">
                      <a:avLst/>
                    </a:prstGeom>
                    <a:ln>
                      <a:noFill/>
                    </a:ln>
                    <a:extLst>
                      <a:ext uri="{53640926-AAD7-44D8-BBD7-CCE9431645EC}">
                        <a14:shadowObscured xmlns:a14="http://schemas.microsoft.com/office/drawing/2010/main"/>
                      </a:ext>
                    </a:extLst>
                  </pic:spPr>
                </pic:pic>
              </a:graphicData>
            </a:graphic>
          </wp:inline>
        </w:drawing>
      </w:r>
    </w:p>
    <w:p w:rsidR="00305715" w:rsidRPr="00BF3B15" w:rsidRDefault="009C7964" w:rsidP="001358C9">
      <w:pPr>
        <w:spacing w:before="100" w:beforeAutospacing="1" w:after="100" w:afterAutospacing="1" w:line="360" w:lineRule="auto"/>
        <w:jc w:val="both"/>
        <w:rPr>
          <w:rFonts w:ascii="Palatino Linotype" w:hAnsi="Palatino Linotype" w:cs="Arial"/>
          <w:color w:val="000000"/>
        </w:rPr>
      </w:pPr>
      <w:r w:rsidRPr="00BF3B15">
        <w:rPr>
          <w:rFonts w:ascii="Palatino Linotype" w:hAnsi="Palatino Linotype" w:cs="Arial"/>
          <w:lang w:val="es-ES"/>
        </w:rPr>
        <w:t xml:space="preserve">Atento a lo anterior, resulta claro que existe fuente obligacional que constriñe al </w:t>
      </w:r>
      <w:r w:rsidRPr="00BF3B15">
        <w:rPr>
          <w:rFonts w:ascii="Palatino Linotype" w:hAnsi="Palatino Linotype" w:cs="Arial"/>
          <w:b/>
          <w:lang w:val="es-ES"/>
        </w:rPr>
        <w:t>SUJETO OBLIGADO</w:t>
      </w:r>
      <w:r w:rsidRPr="00BF3B15">
        <w:rPr>
          <w:rFonts w:ascii="Palatino Linotype" w:hAnsi="Palatino Linotype" w:cs="Arial"/>
          <w:lang w:val="es-ES"/>
        </w:rPr>
        <w:t xml:space="preserve">, para entregar los informes mensuales al OSFEM de conformidad con el artículo 32 de la Ley de Fiscalización Superior del Estado de México, en los cuales se incluye lo referente al </w:t>
      </w:r>
      <w:r w:rsidRPr="00BF3B15">
        <w:rPr>
          <w:rFonts w:ascii="Palatino Linotype" w:hAnsi="Palatino Linotype" w:cs="Arial"/>
          <w:b/>
          <w:lang w:val="es-ES"/>
        </w:rPr>
        <w:t>inventario general del parque vehicular</w:t>
      </w:r>
      <w:r w:rsidRPr="00BF3B15">
        <w:rPr>
          <w:rFonts w:ascii="Palatino Linotype" w:hAnsi="Palatino Linotype" w:cs="Arial"/>
          <w:lang w:val="es-ES"/>
        </w:rPr>
        <w:t xml:space="preserve"> que corresponde a los vehículos que son asignados a las áreas administrativas, en este caso a la Dirección de Seguridad Pública; en consecuencia, la información solicitada; por </w:t>
      </w:r>
      <w:r w:rsidRPr="00BF3B15">
        <w:rPr>
          <w:rFonts w:ascii="Palatino Linotype" w:hAnsi="Palatino Linotype" w:cs="Arial"/>
          <w:b/>
          <w:lang w:val="es-ES"/>
        </w:rPr>
        <w:t xml:space="preserve">LA RECURRENTE </w:t>
      </w:r>
      <w:r w:rsidRPr="00BF3B15">
        <w:rPr>
          <w:rFonts w:ascii="Palatino Linotype" w:hAnsi="Palatino Linotype" w:cs="Arial"/>
          <w:lang w:val="es-ES"/>
        </w:rPr>
        <w:t xml:space="preserve">debe obrar en los archivos del </w:t>
      </w:r>
      <w:r w:rsidRPr="00BF3B15">
        <w:rPr>
          <w:rFonts w:ascii="Palatino Linotype" w:hAnsi="Palatino Linotype" w:cs="Arial"/>
          <w:b/>
          <w:lang w:val="es-ES"/>
        </w:rPr>
        <w:t>SUJETO OBLIGADO</w:t>
      </w:r>
      <w:r w:rsidRPr="00BF3B15">
        <w:rPr>
          <w:rFonts w:ascii="Palatino Linotype" w:hAnsi="Palatino Linotype" w:cs="Arial"/>
          <w:lang w:val="es-ES"/>
        </w:rPr>
        <w:t xml:space="preserve">; por lo que, </w:t>
      </w:r>
      <w:r w:rsidR="008B45CD" w:rsidRPr="00BF3B15">
        <w:rPr>
          <w:rFonts w:ascii="Palatino Linotype" w:hAnsi="Palatino Linotype" w:cs="Arial"/>
        </w:rPr>
        <w:t>este Órgano Garante</w:t>
      </w:r>
      <w:r w:rsidR="001358C9" w:rsidRPr="00BF3B15">
        <w:rPr>
          <w:rFonts w:ascii="Palatino Linotype" w:hAnsi="Palatino Linotype" w:cs="Arial"/>
        </w:rPr>
        <w:t>,</w:t>
      </w:r>
      <w:r w:rsidR="008B45CD" w:rsidRPr="00BF3B15">
        <w:rPr>
          <w:rFonts w:ascii="Palatino Linotype" w:hAnsi="Palatino Linotype" w:cs="Arial"/>
        </w:rPr>
        <w:t xml:space="preserve"> en aras de privilegiar el derecho de acceso a la información pública y bajo el principio de máxima publicidad</w:t>
      </w:r>
      <w:r w:rsidR="001358C9" w:rsidRPr="00BF3B15">
        <w:rPr>
          <w:rFonts w:ascii="Palatino Linotype" w:hAnsi="Palatino Linotype" w:cs="Arial"/>
        </w:rPr>
        <w:t>,</w:t>
      </w:r>
      <w:r w:rsidR="008B45CD" w:rsidRPr="00BF3B15">
        <w:rPr>
          <w:rFonts w:ascii="Palatino Linotype" w:hAnsi="Palatino Linotype" w:cs="Arial"/>
        </w:rPr>
        <w:t xml:space="preserve"> determina ordenar al</w:t>
      </w:r>
      <w:r w:rsidR="008B45CD" w:rsidRPr="00BF3B15">
        <w:rPr>
          <w:rFonts w:ascii="Palatino Linotype" w:hAnsi="Palatino Linotype" w:cs="Arial"/>
          <w:b/>
        </w:rPr>
        <w:t xml:space="preserve"> SUJETO OBLIGADO</w:t>
      </w:r>
      <w:r w:rsidR="001358C9" w:rsidRPr="00BF3B15">
        <w:rPr>
          <w:rFonts w:ascii="Palatino Linotype" w:hAnsi="Palatino Linotype" w:cs="Arial"/>
          <w:color w:val="000000"/>
        </w:rPr>
        <w:t xml:space="preserve"> </w:t>
      </w:r>
      <w:r w:rsidR="008B45CD" w:rsidRPr="00BF3B15">
        <w:rPr>
          <w:rFonts w:ascii="Palatino Linotype" w:hAnsi="Palatino Linotype" w:cs="Arial"/>
          <w:color w:val="000000"/>
        </w:rPr>
        <w:t>la entrega de</w:t>
      </w:r>
      <w:r w:rsidRPr="00BF3B15">
        <w:rPr>
          <w:rFonts w:ascii="Palatino Linotype" w:hAnsi="Palatino Linotype" w:cs="Arial"/>
          <w:color w:val="000000"/>
        </w:rPr>
        <w:t>l Inventario General del Parque Vehicular de la</w:t>
      </w:r>
      <w:r w:rsidR="008B45CD" w:rsidRPr="00BF3B15">
        <w:rPr>
          <w:rFonts w:ascii="Palatino Linotype" w:hAnsi="Palatino Linotype" w:cs="Arial"/>
          <w:color w:val="000000"/>
        </w:rPr>
        <w:t xml:space="preserve"> Dirección de Seguridad Pública y </w:t>
      </w:r>
      <w:r w:rsidR="00305715" w:rsidRPr="00BF3B15">
        <w:rPr>
          <w:rFonts w:ascii="Palatino Linotype" w:hAnsi="Palatino Linotype" w:cs="Arial"/>
          <w:color w:val="000000"/>
        </w:rPr>
        <w:t xml:space="preserve">Tránsito, </w:t>
      </w:r>
      <w:r w:rsidR="004623A8" w:rsidRPr="00BF3B15">
        <w:rPr>
          <w:rFonts w:ascii="Palatino Linotype" w:hAnsi="Palatino Linotype" w:cs="Arial"/>
          <w:color w:val="000000"/>
        </w:rPr>
        <w:t>actualizado al 26 de noviembre de 2018 o bien el ultimo generado</w:t>
      </w:r>
      <w:r w:rsidR="00305715" w:rsidRPr="00BF3B15">
        <w:rPr>
          <w:rStyle w:val="Refdenotaalpie"/>
          <w:rFonts w:ascii="Palatino Linotype" w:hAnsi="Palatino Linotype" w:cs="Arial"/>
          <w:color w:val="000000"/>
        </w:rPr>
        <w:footnoteReference w:id="7"/>
      </w:r>
      <w:r w:rsidR="004623A8" w:rsidRPr="00BF3B15">
        <w:rPr>
          <w:rFonts w:ascii="Palatino Linotype" w:hAnsi="Palatino Linotype" w:cs="Arial"/>
          <w:color w:val="000000"/>
        </w:rPr>
        <w:t xml:space="preserve"> de conformidad con la normatividad aplicable.</w:t>
      </w:r>
    </w:p>
    <w:p w:rsidR="00710CE8" w:rsidRPr="00BF3B15" w:rsidRDefault="00710CE8" w:rsidP="008B45C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lastRenderedPageBreak/>
        <w:t>Finalmente</w:t>
      </w:r>
      <w:r w:rsidR="001358C9" w:rsidRPr="00BF3B15">
        <w:rPr>
          <w:rFonts w:ascii="Palatino Linotype" w:hAnsi="Palatino Linotype" w:cs="Arial"/>
          <w:lang w:eastAsia="es-MX"/>
        </w:rPr>
        <w:t>,</w:t>
      </w:r>
      <w:r w:rsidRPr="00BF3B15">
        <w:rPr>
          <w:rFonts w:ascii="Palatino Linotype" w:hAnsi="Palatino Linotype" w:cs="Arial"/>
          <w:lang w:eastAsia="es-MX"/>
        </w:rPr>
        <w:t xml:space="preserve"> por cuanto hace a la solicitud de información identificada con el inciso c), en el presente estudio y consistente en el número de todo el equipo con el que cuenta la Dirección de Seguridad Pública y Tránsito del </w:t>
      </w:r>
      <w:r w:rsidRPr="00BF3B15">
        <w:rPr>
          <w:rFonts w:ascii="Palatino Linotype" w:hAnsi="Palatino Linotype" w:cs="Arial"/>
          <w:b/>
          <w:lang w:eastAsia="es-MX"/>
        </w:rPr>
        <w:t xml:space="preserve">SUJETO OBLIGADO, </w:t>
      </w:r>
      <w:r w:rsidRPr="00BF3B15">
        <w:rPr>
          <w:rFonts w:ascii="Palatino Linotype" w:hAnsi="Palatino Linotype" w:cs="Arial"/>
          <w:lang w:eastAsia="es-MX"/>
        </w:rPr>
        <w:t>es neces</w:t>
      </w:r>
      <w:r w:rsidR="004D3A61" w:rsidRPr="00BF3B15">
        <w:rPr>
          <w:rFonts w:ascii="Palatino Linotype" w:hAnsi="Palatino Linotype" w:cs="Arial"/>
          <w:lang w:eastAsia="es-MX"/>
        </w:rPr>
        <w:t>ario puntualizar</w:t>
      </w:r>
      <w:r w:rsidR="001358C9" w:rsidRPr="00BF3B15">
        <w:rPr>
          <w:rFonts w:ascii="Palatino Linotype" w:hAnsi="Palatino Linotype" w:cs="Arial"/>
          <w:lang w:eastAsia="es-MX"/>
        </w:rPr>
        <w:t>,</w:t>
      </w:r>
      <w:r w:rsidR="004D3A61" w:rsidRPr="00BF3B15">
        <w:rPr>
          <w:rFonts w:ascii="Palatino Linotype" w:hAnsi="Palatino Linotype" w:cs="Arial"/>
          <w:lang w:eastAsia="es-MX"/>
        </w:rPr>
        <w:t xml:space="preserve"> en primer término</w:t>
      </w:r>
      <w:r w:rsidR="001358C9" w:rsidRPr="00BF3B15">
        <w:rPr>
          <w:rFonts w:ascii="Palatino Linotype" w:hAnsi="Palatino Linotype" w:cs="Arial"/>
          <w:lang w:eastAsia="es-MX"/>
        </w:rPr>
        <w:t>,</w:t>
      </w:r>
      <w:r w:rsidR="004D3A61" w:rsidRPr="00BF3B15">
        <w:rPr>
          <w:rFonts w:ascii="Palatino Linotype" w:hAnsi="Palatino Linotype" w:cs="Arial"/>
          <w:lang w:eastAsia="es-MX"/>
        </w:rPr>
        <w:t xml:space="preserve"> que debe entenderse por la palabra “equipo”, misma que la Real Academia Española define como:</w:t>
      </w:r>
    </w:p>
    <w:p w:rsidR="004D3A61" w:rsidRPr="00BF3B15" w:rsidRDefault="004D3A61" w:rsidP="004D3A61">
      <w:pPr>
        <w:ind w:left="851" w:right="899"/>
        <w:jc w:val="both"/>
        <w:rPr>
          <w:rFonts w:ascii="Palatino Linotype" w:hAnsi="Palatino Linotype" w:cs="Arial"/>
          <w:b/>
          <w:i/>
          <w:sz w:val="22"/>
          <w:szCs w:val="22"/>
          <w:lang w:eastAsia="es-MX"/>
        </w:rPr>
      </w:pPr>
      <w:r w:rsidRPr="00BF3B15">
        <w:rPr>
          <w:rFonts w:ascii="Palatino Linotype" w:hAnsi="Palatino Linotype" w:cs="Arial"/>
          <w:b/>
          <w:i/>
          <w:sz w:val="22"/>
          <w:szCs w:val="22"/>
          <w:lang w:eastAsia="es-MX"/>
        </w:rPr>
        <w:t>EQUIPO</w:t>
      </w:r>
      <w:r w:rsidRPr="00BF3B15">
        <w:rPr>
          <w:rStyle w:val="Refdenotaalpie"/>
          <w:rFonts w:ascii="Palatino Linotype" w:hAnsi="Palatino Linotype" w:cs="Arial"/>
          <w:b/>
          <w:i/>
          <w:sz w:val="22"/>
          <w:szCs w:val="22"/>
          <w:lang w:eastAsia="es-MX"/>
        </w:rPr>
        <w:footnoteReference w:id="8"/>
      </w:r>
      <w:r w:rsidRPr="00BF3B15">
        <w:rPr>
          <w:rFonts w:ascii="Palatino Linotype" w:hAnsi="Palatino Linotype" w:cs="Arial"/>
          <w:b/>
          <w:i/>
          <w:sz w:val="22"/>
          <w:szCs w:val="22"/>
          <w:lang w:eastAsia="es-MX"/>
        </w:rPr>
        <w:t>:</w:t>
      </w:r>
    </w:p>
    <w:p w:rsidR="004D3A61" w:rsidRPr="00BF3B15" w:rsidRDefault="004D3A61" w:rsidP="004D3A61">
      <w:pPr>
        <w:ind w:left="851" w:right="899"/>
        <w:jc w:val="both"/>
        <w:rPr>
          <w:rFonts w:ascii="Palatino Linotype" w:hAnsi="Palatino Linotype" w:cs="Arial"/>
          <w:i/>
          <w:sz w:val="22"/>
          <w:szCs w:val="22"/>
          <w:lang w:eastAsia="es-MX"/>
        </w:rPr>
      </w:pPr>
      <w:r w:rsidRPr="00BF3B15">
        <w:rPr>
          <w:rFonts w:ascii="Palatino Linotype" w:hAnsi="Palatino Linotype" w:cs="Arial" w:hint="eastAsia"/>
          <w:i/>
          <w:sz w:val="22"/>
          <w:szCs w:val="22"/>
          <w:lang w:eastAsia="es-MX"/>
        </w:rPr>
        <w:t>4.</w:t>
      </w:r>
      <w:r w:rsidRPr="00BF3B15">
        <w:rPr>
          <w:rFonts w:ascii="Palatino Linotype" w:hAnsi="Palatino Linotype" w:cs="Arial"/>
          <w:i/>
          <w:sz w:val="22"/>
          <w:szCs w:val="22"/>
          <w:lang w:eastAsia="es-MX"/>
        </w:rPr>
        <w:t xml:space="preserve"> m.</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Colección</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de</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utensilios</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instrumentos</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y</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aparatos</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especiales</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para</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un</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fin</w:t>
      </w:r>
      <w:r w:rsidRPr="00BF3B15">
        <w:rPr>
          <w:rFonts w:ascii="Palatino Linotype" w:hAnsi="Palatino Linotype" w:cs="Arial" w:hint="eastAsia"/>
          <w:i/>
          <w:sz w:val="22"/>
          <w:szCs w:val="22"/>
          <w:lang w:eastAsia="es-MX"/>
        </w:rPr>
        <w:t xml:space="preserve"> </w:t>
      </w:r>
      <w:r w:rsidRPr="00BF3B15">
        <w:rPr>
          <w:rFonts w:ascii="Palatino Linotype" w:hAnsi="Palatino Linotype" w:cs="Arial"/>
          <w:i/>
          <w:sz w:val="22"/>
          <w:szCs w:val="22"/>
          <w:lang w:eastAsia="es-MX"/>
        </w:rPr>
        <w:t>determinado</w:t>
      </w:r>
      <w:r w:rsidRPr="00BF3B15">
        <w:rPr>
          <w:rFonts w:ascii="Palatino Linotype" w:hAnsi="Palatino Linotype" w:cs="Arial" w:hint="eastAsia"/>
          <w:i/>
          <w:sz w:val="22"/>
          <w:szCs w:val="22"/>
          <w:lang w:eastAsia="es-MX"/>
        </w:rPr>
        <w:t xml:space="preserve">. </w:t>
      </w:r>
    </w:p>
    <w:p w:rsidR="004D3A61" w:rsidRPr="00BF3B15" w:rsidRDefault="004D3A61" w:rsidP="004D3A61">
      <w:pPr>
        <w:ind w:left="851" w:right="899"/>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Ejemplo: </w:t>
      </w:r>
      <w:r w:rsidRPr="00BF3B15">
        <w:rPr>
          <w:rFonts w:ascii="Palatino Linotype" w:hAnsi="Palatino Linotype" w:cs="Arial" w:hint="eastAsia"/>
          <w:i/>
          <w:sz w:val="22"/>
          <w:szCs w:val="22"/>
          <w:lang w:eastAsia="es-MX"/>
        </w:rPr>
        <w:t>Equipo</w:t>
      </w:r>
      <w:r w:rsidRPr="00BF3B15">
        <w:rPr>
          <w:rFonts w:ascii="Palatino Linotype" w:hAnsi="Palatino Linotype" w:cs="Arial"/>
          <w:i/>
          <w:sz w:val="22"/>
          <w:szCs w:val="22"/>
          <w:lang w:eastAsia="es-MX"/>
        </w:rPr>
        <w:t xml:space="preserve"> </w:t>
      </w:r>
      <w:r w:rsidRPr="00BF3B15">
        <w:rPr>
          <w:rFonts w:ascii="Palatino Linotype" w:hAnsi="Palatino Linotype" w:cs="Arial" w:hint="eastAsia"/>
          <w:i/>
          <w:sz w:val="22"/>
          <w:szCs w:val="22"/>
          <w:lang w:eastAsia="es-MX"/>
        </w:rPr>
        <w:t>quirúrgico o de salvamento.</w:t>
      </w:r>
    </w:p>
    <w:p w:rsidR="004D3A61" w:rsidRPr="00BF3B15" w:rsidRDefault="004D3A61" w:rsidP="008B45CD">
      <w:pPr>
        <w:spacing w:before="100" w:beforeAutospacing="1" w:after="100" w:afterAutospacing="1" w:line="360" w:lineRule="auto"/>
        <w:jc w:val="both"/>
        <w:rPr>
          <w:rFonts w:ascii="Palatino Linotype" w:hAnsi="Palatino Linotype" w:cs="Arial"/>
          <w:b/>
          <w:color w:val="000000"/>
        </w:rPr>
      </w:pPr>
      <w:r w:rsidRPr="00BF3B15">
        <w:rPr>
          <w:rFonts w:ascii="Palatino Linotype" w:hAnsi="Palatino Linotype" w:cs="Arial"/>
          <w:color w:val="000000"/>
        </w:rPr>
        <w:t>En ese tenor, debemos entender entonces que la solicitante pretende conocer el número de instrumentos, utensilios y aparatos especiales que utiliza el personal adscrito a la Dirección de Seguridad Pública y Tránsito</w:t>
      </w:r>
      <w:r w:rsidR="001358C9" w:rsidRPr="00BF3B15">
        <w:rPr>
          <w:rFonts w:ascii="Palatino Linotype" w:hAnsi="Palatino Linotype" w:cs="Arial"/>
          <w:color w:val="000000"/>
        </w:rPr>
        <w:t>,</w:t>
      </w:r>
      <w:r w:rsidRPr="00BF3B15">
        <w:rPr>
          <w:rFonts w:ascii="Palatino Linotype" w:hAnsi="Palatino Linotype" w:cs="Arial"/>
          <w:color w:val="000000"/>
        </w:rPr>
        <w:t xml:space="preserve"> </w:t>
      </w:r>
      <w:r w:rsidR="00F907DB" w:rsidRPr="00BF3B15">
        <w:rPr>
          <w:rFonts w:ascii="Palatino Linotype" w:hAnsi="Palatino Linotype" w:cs="Arial"/>
          <w:color w:val="000000"/>
        </w:rPr>
        <w:t xml:space="preserve">en el ejercicio de sus funciones; por lo que, derivado de la respuesta del </w:t>
      </w:r>
      <w:r w:rsidR="00F907DB" w:rsidRPr="00BF3B15">
        <w:rPr>
          <w:rFonts w:ascii="Palatino Linotype" w:hAnsi="Palatino Linotype" w:cs="Arial"/>
          <w:b/>
          <w:color w:val="000000"/>
        </w:rPr>
        <w:t xml:space="preserve">SUJETO OBLIGADO </w:t>
      </w:r>
      <w:r w:rsidR="00F907DB" w:rsidRPr="00BF3B15">
        <w:rPr>
          <w:rFonts w:ascii="Palatino Linotype" w:hAnsi="Palatino Linotype" w:cs="Arial"/>
          <w:color w:val="000000"/>
        </w:rPr>
        <w:t xml:space="preserve">donde clasificó la información como reservada, permite a esta Ponencia Resolutora obviar el estudio de la naturaleza jurídica de la información a fin de determinar si la genera, posee o administra en el ejercicio de sus funciones de derecho público; por ello, el análisis de este punto de la solicitud de información </w:t>
      </w:r>
      <w:r w:rsidR="00A242AE" w:rsidRPr="00BF3B15">
        <w:rPr>
          <w:rFonts w:ascii="Palatino Linotype" w:hAnsi="Palatino Linotype" w:cs="Arial"/>
          <w:color w:val="000000"/>
        </w:rPr>
        <w:t>versa en torno al documento o documentos que</w:t>
      </w:r>
      <w:r w:rsidR="001358C9" w:rsidRPr="00BF3B15">
        <w:rPr>
          <w:rFonts w:ascii="Palatino Linotype" w:hAnsi="Palatino Linotype" w:cs="Arial"/>
          <w:color w:val="000000"/>
        </w:rPr>
        <w:t>,</w:t>
      </w:r>
      <w:r w:rsidR="00A242AE" w:rsidRPr="00BF3B15">
        <w:rPr>
          <w:rFonts w:ascii="Palatino Linotype" w:hAnsi="Palatino Linotype" w:cs="Arial"/>
          <w:color w:val="000000"/>
        </w:rPr>
        <w:t xml:space="preserve"> de manera enunciativa mas no limitativa</w:t>
      </w:r>
      <w:r w:rsidR="001358C9" w:rsidRPr="00BF3B15">
        <w:rPr>
          <w:rFonts w:ascii="Palatino Linotype" w:hAnsi="Palatino Linotype" w:cs="Arial"/>
          <w:color w:val="000000"/>
        </w:rPr>
        <w:t>,</w:t>
      </w:r>
      <w:r w:rsidR="00A242AE" w:rsidRPr="00BF3B15">
        <w:rPr>
          <w:rFonts w:ascii="Palatino Linotype" w:hAnsi="Palatino Linotype" w:cs="Arial"/>
          <w:color w:val="000000"/>
        </w:rPr>
        <w:t xml:space="preserve"> pudieran colmar el derecho de acceso a la información pública de la hoy </w:t>
      </w:r>
      <w:r w:rsidR="00A242AE" w:rsidRPr="00BF3B15">
        <w:rPr>
          <w:rFonts w:ascii="Palatino Linotype" w:hAnsi="Palatino Linotype" w:cs="Arial"/>
          <w:b/>
          <w:color w:val="000000"/>
        </w:rPr>
        <w:t>RECURRENTE.</w:t>
      </w:r>
    </w:p>
    <w:p w:rsidR="00A242AE" w:rsidRPr="00BF3B15" w:rsidRDefault="00A242AE" w:rsidP="00A242AE">
      <w:pPr>
        <w:pStyle w:val="q"/>
        <w:spacing w:before="240" w:beforeAutospacing="0" w:after="360" w:afterAutospacing="0" w:line="360" w:lineRule="auto"/>
        <w:ind w:right="49"/>
        <w:jc w:val="both"/>
        <w:rPr>
          <w:rFonts w:ascii="Palatino Linotype" w:hAnsi="Palatino Linotype" w:cs="Arial"/>
        </w:rPr>
      </w:pPr>
      <w:r w:rsidRPr="00BF3B15">
        <w:rPr>
          <w:rFonts w:ascii="Palatino Linotype" w:eastAsia="Arial Unicode MS" w:hAnsi="Palatino Linotype" w:cs="Arial"/>
          <w:szCs w:val="20"/>
        </w:rPr>
        <w:t xml:space="preserve">Así, los </w:t>
      </w:r>
      <w:r w:rsidRPr="00BF3B15">
        <w:rPr>
          <w:rFonts w:ascii="Palatino Linotype" w:hAnsi="Palatino Linotype" w:cs="Arial"/>
        </w:rPr>
        <w:t>Lineamientos para el Registro y Control del Inventario y la Conciliación y Desincorporación de Bienes Muebles e Inmuebles para las Entidades Fiscalizables Munic</w:t>
      </w:r>
      <w:r w:rsidR="00D90FB4" w:rsidRPr="00BF3B15">
        <w:rPr>
          <w:rFonts w:ascii="Palatino Linotype" w:hAnsi="Palatino Linotype" w:cs="Arial"/>
        </w:rPr>
        <w:t>ipales del Estado de México,</w:t>
      </w:r>
      <w:r w:rsidRPr="00BF3B15">
        <w:rPr>
          <w:rFonts w:ascii="Palatino Linotype" w:hAnsi="Palatino Linotype" w:cs="Arial"/>
        </w:rPr>
        <w:t xml:space="preserve"> tienen como propósito </w:t>
      </w:r>
      <w:r w:rsidRPr="00BF3B15">
        <w:rPr>
          <w:rFonts w:ascii="Palatino Linotype" w:hAnsi="Palatino Linotype" w:cs="Arial"/>
          <w:b/>
        </w:rPr>
        <w:t>actualizar y transparentar el manejo, uso y destino de los bienes</w:t>
      </w:r>
      <w:r w:rsidRPr="00BF3B15">
        <w:rPr>
          <w:rFonts w:ascii="Palatino Linotype" w:hAnsi="Palatino Linotype" w:cs="Arial"/>
        </w:rPr>
        <w:t xml:space="preserve"> así como garantizar la legalidad, control y la correcta participación de los servidores públicos municipales en los procedimientos de </w:t>
      </w:r>
      <w:r w:rsidRPr="00BF3B15">
        <w:rPr>
          <w:rFonts w:ascii="Palatino Linotype" w:hAnsi="Palatino Linotype" w:cs="Arial"/>
        </w:rPr>
        <w:lastRenderedPageBreak/>
        <w:t xml:space="preserve">adquisición, resguardo y baja de bienes, </w:t>
      </w:r>
      <w:r w:rsidRPr="00BF3B15">
        <w:rPr>
          <w:rFonts w:ascii="Palatino Linotype" w:hAnsi="Palatino Linotype" w:cs="Arial"/>
          <w:b/>
        </w:rPr>
        <w:t>permitiendo mantener la debida conciliación del inventario de los bienes muebles</w:t>
      </w:r>
      <w:r w:rsidRPr="00BF3B15">
        <w:rPr>
          <w:rFonts w:ascii="Palatino Linotype" w:hAnsi="Palatino Linotype" w:cs="Arial"/>
        </w:rPr>
        <w:t xml:space="preserve"> e inmuebles </w:t>
      </w:r>
      <w:r w:rsidRPr="00BF3B15">
        <w:rPr>
          <w:rFonts w:ascii="Palatino Linotype" w:hAnsi="Palatino Linotype" w:cs="Arial"/>
          <w:b/>
        </w:rPr>
        <w:t>con los registros contables</w:t>
      </w:r>
      <w:r w:rsidR="00D90FB4" w:rsidRPr="00BF3B15">
        <w:rPr>
          <w:rFonts w:ascii="Palatino Linotype" w:hAnsi="Palatino Linotype" w:cs="Arial"/>
        </w:rPr>
        <w:t xml:space="preserve">, conceptualizando estos a los </w:t>
      </w:r>
      <w:r w:rsidRPr="00BF3B15">
        <w:rPr>
          <w:rFonts w:ascii="Palatino Linotype" w:hAnsi="Palatino Linotype" w:cs="Arial"/>
        </w:rPr>
        <w:t xml:space="preserve">bienes </w:t>
      </w:r>
      <w:r w:rsidR="00D90FB4" w:rsidRPr="00BF3B15">
        <w:rPr>
          <w:rFonts w:ascii="Palatino Linotype" w:hAnsi="Palatino Linotype" w:cs="Arial"/>
        </w:rPr>
        <w:t xml:space="preserve">muebles </w:t>
      </w:r>
      <w:r w:rsidRPr="00BF3B15">
        <w:rPr>
          <w:rFonts w:ascii="Palatino Linotype" w:hAnsi="Palatino Linotype" w:cs="Arial"/>
        </w:rPr>
        <w:t>como</w:t>
      </w:r>
      <w:r w:rsidR="00D90FB4" w:rsidRPr="00BF3B15">
        <w:rPr>
          <w:rFonts w:ascii="Palatino Linotype" w:hAnsi="Palatino Linotype" w:cs="Arial"/>
        </w:rPr>
        <w:t>:</w:t>
      </w:r>
    </w:p>
    <w:p w:rsidR="00A242AE" w:rsidRPr="00BF3B15" w:rsidRDefault="00A242AE" w:rsidP="001358C9">
      <w:pPr>
        <w:pStyle w:val="q"/>
        <w:spacing w:before="0" w:beforeAutospacing="0" w:after="0" w:afterAutospacing="0"/>
        <w:ind w:left="851" w:right="902"/>
        <w:jc w:val="both"/>
        <w:rPr>
          <w:rFonts w:ascii="Palatino Linotype" w:hAnsi="Palatino Linotype" w:cs="Arial"/>
          <w:i/>
          <w:sz w:val="22"/>
          <w:szCs w:val="22"/>
        </w:rPr>
      </w:pPr>
      <w:r w:rsidRPr="00BF3B15">
        <w:rPr>
          <w:rFonts w:ascii="Palatino Linotype" w:hAnsi="Palatino Linotype" w:cs="Arial"/>
          <w:i/>
          <w:sz w:val="22"/>
          <w:szCs w:val="22"/>
        </w:rPr>
        <w:t>“</w:t>
      </w:r>
      <w:r w:rsidRPr="00BF3B15">
        <w:rPr>
          <w:rFonts w:ascii="Palatino Linotype" w:hAnsi="Palatino Linotype" w:cs="Arial"/>
          <w:b/>
          <w:i/>
          <w:sz w:val="22"/>
          <w:szCs w:val="22"/>
        </w:rPr>
        <w:t>NOVENO</w:t>
      </w:r>
      <w:r w:rsidRPr="00BF3B15">
        <w:rPr>
          <w:rFonts w:ascii="Palatino Linotype" w:hAnsi="Palatino Linotype" w:cs="Arial"/>
          <w:i/>
          <w:sz w:val="22"/>
          <w:szCs w:val="22"/>
        </w:rPr>
        <w:t>: Para efectos de los presentes Lineamientos, se entenderá por:</w:t>
      </w:r>
    </w:p>
    <w:p w:rsidR="00A242AE" w:rsidRPr="00BF3B15" w:rsidRDefault="00A242AE" w:rsidP="001358C9">
      <w:pPr>
        <w:pStyle w:val="q"/>
        <w:spacing w:before="0" w:beforeAutospacing="0" w:after="0" w:afterAutospacing="0"/>
        <w:ind w:left="851" w:right="902"/>
        <w:jc w:val="both"/>
        <w:rPr>
          <w:rFonts w:ascii="Palatino Linotype" w:hAnsi="Palatino Linotype" w:cs="Arial"/>
          <w:i/>
          <w:sz w:val="22"/>
          <w:szCs w:val="22"/>
        </w:rPr>
      </w:pPr>
      <w:r w:rsidRPr="00BF3B15">
        <w:rPr>
          <w:rFonts w:ascii="Palatino Linotype" w:hAnsi="Palatino Linotype" w:cs="Arial"/>
          <w:i/>
          <w:sz w:val="22"/>
          <w:szCs w:val="22"/>
        </w:rPr>
        <w:t>…</w:t>
      </w:r>
    </w:p>
    <w:p w:rsidR="00A242AE" w:rsidRPr="00BF3B15" w:rsidRDefault="00A242AE" w:rsidP="001358C9">
      <w:pPr>
        <w:pStyle w:val="q"/>
        <w:spacing w:before="0" w:beforeAutospacing="0" w:after="0" w:afterAutospacing="0"/>
        <w:ind w:left="851" w:right="902"/>
        <w:jc w:val="both"/>
        <w:rPr>
          <w:rFonts w:ascii="Palatino Linotype" w:hAnsi="Palatino Linotype" w:cs="Arial"/>
          <w:i/>
          <w:sz w:val="22"/>
          <w:szCs w:val="22"/>
        </w:rPr>
      </w:pPr>
      <w:r w:rsidRPr="00BF3B15">
        <w:rPr>
          <w:rFonts w:ascii="Palatino Linotype" w:hAnsi="Palatino Linotype" w:cs="Arial"/>
          <w:b/>
          <w:i/>
          <w:sz w:val="22"/>
          <w:szCs w:val="22"/>
        </w:rPr>
        <w:t>VII. BIEN MUEBLE</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Objeto que por su naturaleza de uso o consumo, puede ser trasladado de un lugar a otro</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ya sea por sí mismo</w:t>
      </w:r>
      <w:r w:rsidRPr="00BF3B15">
        <w:rPr>
          <w:rFonts w:ascii="Palatino Linotype" w:hAnsi="Palatino Linotype" w:cs="Arial"/>
          <w:i/>
          <w:sz w:val="22"/>
          <w:szCs w:val="22"/>
        </w:rPr>
        <w:t xml:space="preserve">, </w:t>
      </w:r>
      <w:r w:rsidRPr="00BF3B15">
        <w:rPr>
          <w:rFonts w:ascii="Palatino Linotype" w:hAnsi="Palatino Linotype" w:cs="Arial"/>
          <w:b/>
          <w:i/>
          <w:sz w:val="22"/>
          <w:szCs w:val="22"/>
        </w:rPr>
        <w:t>o por efecto de una fuerza exterior,</w:t>
      </w:r>
      <w:r w:rsidRPr="00BF3B15">
        <w:rPr>
          <w:rFonts w:ascii="Palatino Linotype" w:hAnsi="Palatino Linotype" w:cs="Arial"/>
          <w:i/>
          <w:sz w:val="22"/>
          <w:szCs w:val="22"/>
        </w:rPr>
        <w:t xml:space="preserve"> es todo aquello que se conoce como: mobiliario, mesas, sillas, libreros, anaqueles, equipo de oficina en general, equipo de transporte, semovientes, entre otros;</w:t>
      </w:r>
      <w:r w:rsidR="001358C9" w:rsidRPr="00BF3B15">
        <w:rPr>
          <w:rFonts w:ascii="Palatino Linotype" w:hAnsi="Palatino Linotype" w:cs="Arial"/>
          <w:i/>
          <w:sz w:val="22"/>
          <w:szCs w:val="22"/>
        </w:rPr>
        <w:t>”</w:t>
      </w:r>
    </w:p>
    <w:p w:rsidR="001358C9" w:rsidRPr="00BF3B15" w:rsidRDefault="001358C9" w:rsidP="001358C9">
      <w:pPr>
        <w:pStyle w:val="q"/>
        <w:spacing w:before="0" w:beforeAutospacing="0" w:after="0" w:afterAutospacing="0"/>
        <w:ind w:left="851" w:right="902"/>
        <w:jc w:val="both"/>
        <w:rPr>
          <w:rFonts w:ascii="Palatino Linotype" w:hAnsi="Palatino Linotype" w:cs="Arial"/>
          <w:i/>
          <w:sz w:val="22"/>
          <w:szCs w:val="22"/>
        </w:rPr>
      </w:pPr>
      <w:r w:rsidRPr="00BF3B15">
        <w:rPr>
          <w:rFonts w:ascii="Palatino Linotype" w:hAnsi="Palatino Linotype" w:cs="Arial"/>
          <w:i/>
          <w:sz w:val="22"/>
          <w:szCs w:val="22"/>
        </w:rPr>
        <w:t>(Énfasis añadido)</w:t>
      </w:r>
    </w:p>
    <w:p w:rsidR="005338CD" w:rsidRPr="00BF3B15" w:rsidRDefault="005338CD" w:rsidP="001358C9">
      <w:pPr>
        <w:autoSpaceDE w:val="0"/>
        <w:autoSpaceDN w:val="0"/>
        <w:adjustRightInd w:val="0"/>
        <w:spacing w:before="100" w:beforeAutospacing="1" w:after="100" w:afterAutospacing="1" w:line="360" w:lineRule="auto"/>
        <w:ind w:right="49"/>
        <w:jc w:val="both"/>
        <w:rPr>
          <w:rFonts w:ascii="Palatino Linotype" w:hAnsi="Palatino Linotype" w:cs="Arial"/>
        </w:rPr>
      </w:pPr>
      <w:r w:rsidRPr="00BF3B15">
        <w:rPr>
          <w:rFonts w:ascii="Palatino Linotype" w:hAnsi="Palatino Linotype" w:cs="Arial"/>
        </w:rPr>
        <w:t xml:space="preserve">Aunado a lo anterior, los Lineamientos </w:t>
      </w:r>
      <w:r w:rsidR="00D74383" w:rsidRPr="00BF3B15">
        <w:rPr>
          <w:rFonts w:ascii="Palatino Linotype" w:hAnsi="Palatino Linotype" w:cs="Arial"/>
        </w:rPr>
        <w:t xml:space="preserve">en comento </w:t>
      </w:r>
      <w:r w:rsidRPr="00BF3B15">
        <w:rPr>
          <w:rFonts w:ascii="Palatino Linotype" w:hAnsi="Palatino Linotype" w:cs="Arial"/>
        </w:rPr>
        <w:t>establecen</w:t>
      </w:r>
      <w:r w:rsidR="00D74383" w:rsidRPr="00BF3B15">
        <w:rPr>
          <w:rFonts w:ascii="Palatino Linotype" w:hAnsi="Palatino Linotype" w:cs="Arial"/>
        </w:rPr>
        <w:t>, lo que debemos entender por inventario e inventario de bienes muebles, tal como se aprecia enseguida:</w:t>
      </w:r>
    </w:p>
    <w:p w:rsidR="005338CD" w:rsidRPr="00BF3B15" w:rsidRDefault="00D74383" w:rsidP="001358C9">
      <w:pPr>
        <w:autoSpaceDE w:val="0"/>
        <w:autoSpaceDN w:val="0"/>
        <w:adjustRightInd w:val="0"/>
        <w:ind w:left="851" w:right="902"/>
        <w:jc w:val="both"/>
        <w:rPr>
          <w:rFonts w:ascii="Palatino Linotype" w:hAnsi="Palatino Linotype" w:cs="Arial"/>
          <w:b/>
          <w:i/>
          <w:sz w:val="22"/>
          <w:szCs w:val="22"/>
          <w:u w:val="single"/>
          <w:lang w:eastAsia="en-US"/>
        </w:rPr>
      </w:pPr>
      <w:r w:rsidRPr="00BF3B15">
        <w:rPr>
          <w:rFonts w:ascii="Palatino Linotype" w:hAnsi="Palatino Linotype" w:cs="Arial"/>
          <w:b/>
          <w:i/>
          <w:sz w:val="22"/>
          <w:szCs w:val="22"/>
          <w:lang w:eastAsia="en-US"/>
        </w:rPr>
        <w:t>“</w:t>
      </w:r>
      <w:r w:rsidR="005338CD" w:rsidRPr="00BF3B15">
        <w:rPr>
          <w:rFonts w:ascii="Palatino Linotype" w:hAnsi="Palatino Linotype" w:cs="Arial"/>
          <w:b/>
          <w:i/>
          <w:sz w:val="22"/>
          <w:szCs w:val="22"/>
          <w:lang w:eastAsia="en-US"/>
        </w:rPr>
        <w:t>XXX. INVENTARIO: Lista en la que se registran y describe la existencia de los bienes muebles e inmuebles propiedad de las entidades fiscalizables;</w:t>
      </w:r>
      <w:r w:rsidR="005338CD" w:rsidRPr="00BF3B15">
        <w:rPr>
          <w:rFonts w:ascii="Palatino Linotype" w:hAnsi="Palatino Linotype" w:cs="Arial"/>
          <w:b/>
          <w:i/>
          <w:sz w:val="22"/>
          <w:szCs w:val="22"/>
          <w:u w:val="single"/>
          <w:lang w:eastAsia="en-US"/>
        </w:rPr>
        <w:t xml:space="preserve"> </w:t>
      </w:r>
    </w:p>
    <w:p w:rsidR="005338CD" w:rsidRPr="00BF3B15" w:rsidRDefault="005338CD" w:rsidP="001358C9">
      <w:pPr>
        <w:autoSpaceDE w:val="0"/>
        <w:autoSpaceDN w:val="0"/>
        <w:adjustRightInd w:val="0"/>
        <w:ind w:left="851" w:right="902"/>
        <w:jc w:val="both"/>
        <w:rPr>
          <w:rFonts w:ascii="Palatino Linotype" w:hAnsi="Palatino Linotype" w:cs="Arial"/>
          <w:i/>
          <w:sz w:val="22"/>
          <w:lang w:eastAsia="en-US"/>
        </w:rPr>
      </w:pPr>
      <w:r w:rsidRPr="00BF3B15">
        <w:rPr>
          <w:rFonts w:ascii="Palatino Linotype" w:hAnsi="Palatino Linotype" w:cs="Arial"/>
          <w:b/>
          <w:i/>
          <w:sz w:val="22"/>
          <w:lang w:eastAsia="en-US"/>
        </w:rPr>
        <w:t>XXXII. INVENTARIO DE BIENES MUEBLES:</w:t>
      </w:r>
      <w:r w:rsidRPr="00BF3B15">
        <w:rPr>
          <w:rFonts w:ascii="Palatino Linotype" w:hAnsi="Palatino Linotype" w:cs="Arial"/>
          <w:i/>
          <w:sz w:val="22"/>
          <w:lang w:eastAsia="en-US"/>
        </w:rPr>
        <w:t xml:space="preserve"> </w:t>
      </w:r>
      <w:r w:rsidRPr="00BF3B15">
        <w:rPr>
          <w:rFonts w:ascii="Palatino Linotype" w:hAnsi="Palatino Linotype" w:cs="Arial"/>
          <w:b/>
          <w:i/>
          <w:sz w:val="22"/>
          <w:lang w:eastAsia="en-US"/>
        </w:rPr>
        <w:t>Registro de los bienes muebles con un costo igual o mayor a 35 salarios mínimos del área geográfica</w:t>
      </w:r>
      <w:r w:rsidRPr="00BF3B15">
        <w:rPr>
          <w:rFonts w:ascii="Palatino Linotype" w:hAnsi="Palatino Linotype" w:cs="Arial"/>
          <w:i/>
          <w:sz w:val="22"/>
          <w:lang w:eastAsia="en-US"/>
        </w:rPr>
        <w:t xml:space="preserve"> "C" para los ejercicios anteriores y a partir del 01 de enero de 2013 los bienes muebles cuyo costo unitario de adquisición sea igual o superior a 35 días de salario mínimo general del Distrito Federal;</w:t>
      </w:r>
      <w:r w:rsidR="00D74383" w:rsidRPr="00BF3B15">
        <w:rPr>
          <w:rFonts w:ascii="Palatino Linotype" w:hAnsi="Palatino Linotype" w:cs="Arial"/>
          <w:i/>
          <w:sz w:val="22"/>
          <w:lang w:eastAsia="en-US"/>
        </w:rPr>
        <w:t>…”</w:t>
      </w:r>
    </w:p>
    <w:p w:rsidR="005338CD" w:rsidRPr="00BF3B15" w:rsidRDefault="005338CD" w:rsidP="001358C9">
      <w:pPr>
        <w:autoSpaceDE w:val="0"/>
        <w:autoSpaceDN w:val="0"/>
        <w:adjustRightInd w:val="0"/>
        <w:ind w:left="851" w:right="902"/>
        <w:jc w:val="both"/>
        <w:rPr>
          <w:rFonts w:ascii="Palatino Linotype" w:hAnsi="Palatino Linotype" w:cs="Arial"/>
          <w:i/>
          <w:sz w:val="22"/>
          <w:lang w:eastAsia="en-US"/>
        </w:rPr>
      </w:pPr>
      <w:r w:rsidRPr="00BF3B15">
        <w:rPr>
          <w:rFonts w:ascii="Palatino Linotype" w:hAnsi="Palatino Linotype" w:cs="Arial"/>
          <w:i/>
          <w:sz w:val="22"/>
          <w:lang w:eastAsia="en-US"/>
        </w:rPr>
        <w:t>(Énfasis añadido)</w:t>
      </w:r>
    </w:p>
    <w:p w:rsidR="005338CD" w:rsidRPr="00BF3B15" w:rsidRDefault="00D74383" w:rsidP="001358C9">
      <w:pPr>
        <w:autoSpaceDE w:val="0"/>
        <w:autoSpaceDN w:val="0"/>
        <w:adjustRightInd w:val="0"/>
        <w:spacing w:before="240" w:after="240" w:line="360" w:lineRule="auto"/>
        <w:ind w:right="49"/>
        <w:jc w:val="both"/>
        <w:rPr>
          <w:rFonts w:ascii="Palatino Linotype" w:hAnsi="Palatino Linotype" w:cs="Arial"/>
          <w:lang w:eastAsia="en-US"/>
        </w:rPr>
      </w:pPr>
      <w:r w:rsidRPr="00BF3B15">
        <w:rPr>
          <w:rFonts w:ascii="Palatino Linotype" w:hAnsi="Palatino Linotype" w:cs="Arial"/>
          <w:lang w:eastAsia="en-US"/>
        </w:rPr>
        <w:t xml:space="preserve">De ahí que, </w:t>
      </w:r>
      <w:r w:rsidR="005338CD" w:rsidRPr="00BF3B15">
        <w:rPr>
          <w:rFonts w:ascii="Palatino Linotype" w:hAnsi="Palatino Linotype" w:cs="Arial"/>
          <w:lang w:eastAsia="en-US"/>
        </w:rPr>
        <w:t xml:space="preserve">en los Capítulos XI y XII, de dichos Lineamientos </w:t>
      </w:r>
      <w:r w:rsidRPr="00BF3B15">
        <w:rPr>
          <w:rFonts w:ascii="Palatino Linotype" w:hAnsi="Palatino Linotype" w:cs="Arial"/>
          <w:lang w:eastAsia="en-US"/>
        </w:rPr>
        <w:t>se especifique</w:t>
      </w:r>
      <w:r w:rsidR="005338CD" w:rsidRPr="00BF3B15">
        <w:rPr>
          <w:rFonts w:ascii="Palatino Linotype" w:hAnsi="Palatino Linotype" w:cs="Arial"/>
          <w:lang w:eastAsia="en-US"/>
        </w:rPr>
        <w:t xml:space="preserve"> lo que comprende el Inventario General de Bienes Muebles, conforme a lo siguiente:</w:t>
      </w:r>
    </w:p>
    <w:p w:rsidR="005338CD" w:rsidRPr="00BF3B15" w:rsidRDefault="005338CD" w:rsidP="0025668F">
      <w:pPr>
        <w:autoSpaceDE w:val="0"/>
        <w:autoSpaceDN w:val="0"/>
        <w:adjustRightInd w:val="0"/>
        <w:spacing w:before="120" w:after="120"/>
        <w:ind w:left="851" w:right="899"/>
        <w:jc w:val="center"/>
        <w:rPr>
          <w:rFonts w:ascii="Palatino Linotype" w:hAnsi="Palatino Linotype" w:cs="Arial"/>
          <w:b/>
          <w:i/>
          <w:sz w:val="22"/>
          <w:szCs w:val="22"/>
          <w:lang w:eastAsia="en-US"/>
        </w:rPr>
      </w:pPr>
      <w:r w:rsidRPr="00BF3B15">
        <w:rPr>
          <w:rFonts w:ascii="Palatino Linotype" w:hAnsi="Palatino Linotype" w:cs="Arial"/>
          <w:b/>
          <w:bCs/>
          <w:i/>
          <w:sz w:val="22"/>
          <w:szCs w:val="22"/>
          <w:lang w:eastAsia="en-US"/>
        </w:rPr>
        <w:t>“</w:t>
      </w:r>
      <w:r w:rsidRPr="00BF3B15">
        <w:rPr>
          <w:rFonts w:ascii="Palatino Linotype" w:hAnsi="Palatino Linotype" w:cs="Arial"/>
          <w:b/>
          <w:i/>
          <w:sz w:val="22"/>
          <w:szCs w:val="22"/>
          <w:lang w:eastAsia="en-US"/>
        </w:rPr>
        <w:t>CAPÍTULO XI</w:t>
      </w:r>
    </w:p>
    <w:p w:rsidR="005338CD" w:rsidRPr="00BF3B15" w:rsidRDefault="005338CD" w:rsidP="0025668F">
      <w:pPr>
        <w:autoSpaceDE w:val="0"/>
        <w:autoSpaceDN w:val="0"/>
        <w:adjustRightInd w:val="0"/>
        <w:spacing w:before="120" w:after="120"/>
        <w:ind w:left="851" w:right="899"/>
        <w:jc w:val="center"/>
        <w:rPr>
          <w:rFonts w:ascii="Palatino Linotype" w:hAnsi="Palatino Linotype" w:cs="Arial"/>
          <w:b/>
          <w:bCs/>
          <w:i/>
          <w:sz w:val="22"/>
          <w:szCs w:val="22"/>
          <w:lang w:eastAsia="en-US"/>
        </w:rPr>
      </w:pPr>
      <w:r w:rsidRPr="00BF3B15">
        <w:rPr>
          <w:rFonts w:ascii="Palatino Linotype" w:hAnsi="Palatino Linotype"/>
          <w:b/>
          <w:i/>
          <w:sz w:val="22"/>
          <w:szCs w:val="22"/>
        </w:rPr>
        <w:t>INVENTARIO GENERAL DE BIENES MUEBLES</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b/>
          <w:i/>
          <w:sz w:val="22"/>
          <w:szCs w:val="22"/>
        </w:rPr>
        <w:t>VIGÉSIMO</w:t>
      </w:r>
      <w:r w:rsidRPr="00BF3B15">
        <w:rPr>
          <w:rFonts w:ascii="Palatino Linotype" w:hAnsi="Palatino Linotype"/>
          <w:i/>
          <w:sz w:val="22"/>
          <w:szCs w:val="22"/>
        </w:rPr>
        <w:t xml:space="preserve">: </w:t>
      </w:r>
      <w:r w:rsidRPr="00BF3B15">
        <w:rPr>
          <w:rFonts w:ascii="Palatino Linotype" w:hAnsi="Palatino Linotype"/>
          <w:b/>
          <w:i/>
          <w:sz w:val="22"/>
          <w:szCs w:val="22"/>
        </w:rPr>
        <w:t>El inventario general de bienes muebles</w:t>
      </w:r>
      <w:r w:rsidRPr="00BF3B15">
        <w:rPr>
          <w:rFonts w:ascii="Palatino Linotype" w:hAnsi="Palatino Linotype"/>
          <w:i/>
          <w:sz w:val="22"/>
          <w:szCs w:val="22"/>
        </w:rPr>
        <w:t xml:space="preserve">, es el </w:t>
      </w:r>
      <w:r w:rsidRPr="00BF3B15">
        <w:rPr>
          <w:rFonts w:ascii="Palatino Linotype" w:hAnsi="Palatino Linotype"/>
          <w:b/>
          <w:i/>
          <w:sz w:val="22"/>
          <w:szCs w:val="22"/>
        </w:rPr>
        <w:t>documento en el que están registrados los bienes muebles con los que cuentan las entidades fiscalizables,</w:t>
      </w:r>
      <w:r w:rsidRPr="00BF3B15">
        <w:rPr>
          <w:rFonts w:ascii="Palatino Linotype" w:hAnsi="Palatino Linotype"/>
          <w:i/>
          <w:sz w:val="22"/>
          <w:szCs w:val="22"/>
        </w:rPr>
        <w:t xml:space="preserve"> conteniendo sus características de identificación, tales como: nombre, número de inventario, marca, modelo, serie, uso, número de factura, costo, fecha de adquisición, estado de conservación.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b/>
          <w:i/>
          <w:sz w:val="22"/>
          <w:szCs w:val="22"/>
        </w:rPr>
        <w:lastRenderedPageBreak/>
        <w:t>Tratándose de adquisiciones de bienes muebles, con un costo igual o mayor a 35 veces el salario mínimo general del Distrito Federal,</w:t>
      </w:r>
      <w:r w:rsidRPr="00BF3B15">
        <w:rPr>
          <w:rFonts w:ascii="Palatino Linotype" w:hAnsi="Palatino Linotype"/>
          <w:i/>
          <w:sz w:val="22"/>
          <w:szCs w:val="22"/>
        </w:rPr>
        <w:t xml:space="preserve"> deberán registrarse contablemente como un aumento en el activo, e incluirse en la cédula de Inventario de Bienes Muebles </w:t>
      </w:r>
      <w:r w:rsidRPr="00BF3B15">
        <w:rPr>
          <w:rFonts w:ascii="Palatino Linotype" w:hAnsi="Palatino Linotype"/>
          <w:b/>
          <w:i/>
          <w:sz w:val="22"/>
          <w:szCs w:val="22"/>
        </w:rPr>
        <w:t>(Anexo 1).</w:t>
      </w:r>
      <w:r w:rsidRPr="00BF3B15">
        <w:rPr>
          <w:rFonts w:ascii="Palatino Linotype" w:hAnsi="Palatino Linotype"/>
          <w:i/>
          <w:sz w:val="22"/>
          <w:szCs w:val="22"/>
        </w:rPr>
        <w:t xml:space="preserve"> </w:t>
      </w:r>
    </w:p>
    <w:p w:rsidR="005338CD" w:rsidRPr="00BF3B15" w:rsidRDefault="005338CD" w:rsidP="0025668F">
      <w:pPr>
        <w:autoSpaceDE w:val="0"/>
        <w:autoSpaceDN w:val="0"/>
        <w:adjustRightInd w:val="0"/>
        <w:spacing w:before="120" w:after="120"/>
        <w:ind w:left="851" w:right="899"/>
        <w:jc w:val="both"/>
        <w:rPr>
          <w:rFonts w:ascii="Palatino Linotype" w:hAnsi="Palatino Linotype"/>
          <w:b/>
          <w:i/>
          <w:sz w:val="22"/>
          <w:szCs w:val="22"/>
        </w:rPr>
      </w:pPr>
      <w:r w:rsidRPr="00BF3B15">
        <w:rPr>
          <w:rFonts w:ascii="Palatino Linotype" w:hAnsi="Palatino Linotype"/>
          <w:b/>
          <w:i/>
          <w:sz w:val="22"/>
          <w:szCs w:val="22"/>
        </w:rPr>
        <w:t>Aquellos con un costo inferior a 35 y mayor a 17 veces el salario mínimo general del Distrito Federal,</w:t>
      </w:r>
      <w:r w:rsidRPr="00BF3B15">
        <w:rPr>
          <w:rFonts w:ascii="Palatino Linotype" w:hAnsi="Palatino Linotype"/>
          <w:i/>
          <w:sz w:val="22"/>
          <w:szCs w:val="22"/>
        </w:rPr>
        <w:t xml:space="preserve"> se registran como un gasto y se incluyen en la cédula de Inventario de Bienes Muebles de Bajo Costo </w:t>
      </w:r>
      <w:r w:rsidRPr="00BF3B15">
        <w:rPr>
          <w:rFonts w:ascii="Palatino Linotype" w:hAnsi="Palatino Linotype"/>
          <w:b/>
          <w:i/>
          <w:sz w:val="22"/>
          <w:szCs w:val="22"/>
        </w:rPr>
        <w:t xml:space="preserve">(Anexo 2).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 xml:space="preserve">Los bienes con un costo menor a este último, se consideran bienes no </w:t>
      </w:r>
      <w:proofErr w:type="spellStart"/>
      <w:r w:rsidRPr="00BF3B15">
        <w:rPr>
          <w:rFonts w:ascii="Palatino Linotype" w:hAnsi="Palatino Linotype"/>
          <w:i/>
          <w:sz w:val="22"/>
          <w:szCs w:val="22"/>
        </w:rPr>
        <w:t>inventariables</w:t>
      </w:r>
      <w:proofErr w:type="spellEnd"/>
      <w:r w:rsidRPr="00BF3B15">
        <w:rPr>
          <w:rFonts w:ascii="Palatino Linotype" w:hAnsi="Palatino Linotype"/>
          <w:i/>
          <w:sz w:val="22"/>
          <w:szCs w:val="22"/>
        </w:rPr>
        <w:t xml:space="preserve"> y podrán llevar un control interno.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b/>
          <w:i/>
          <w:sz w:val="22"/>
          <w:szCs w:val="22"/>
        </w:rPr>
        <w:t>VIGÉSIMO PRIMERO</w:t>
      </w:r>
      <w:r w:rsidRPr="00BF3B15">
        <w:rPr>
          <w:rFonts w:ascii="Palatino Linotype" w:hAnsi="Palatino Linotype"/>
          <w:i/>
          <w:sz w:val="22"/>
          <w:szCs w:val="22"/>
        </w:rPr>
        <w:t xml:space="preserve">: </w:t>
      </w:r>
      <w:r w:rsidRPr="00BF3B15">
        <w:rPr>
          <w:rFonts w:ascii="Palatino Linotype" w:hAnsi="Palatino Linotype"/>
          <w:b/>
          <w:i/>
          <w:sz w:val="22"/>
          <w:szCs w:val="22"/>
        </w:rPr>
        <w:t>El responsable de elaborar el inventario general de bienes en el municipio, es el secretario con la intervención del síndico y la participación del titular del órgano de control interno</w:t>
      </w:r>
      <w:r w:rsidRPr="00BF3B15">
        <w:rPr>
          <w:rFonts w:ascii="Palatino Linotype" w:hAnsi="Palatino Linotype"/>
          <w:i/>
          <w:sz w:val="22"/>
          <w:szCs w:val="22"/>
        </w:rPr>
        <w:t xml:space="preserve">, quienes previamente realizarán una revisión física de todos los bienes, al concluirlo deberán asentar sus firmas junto con la del presidente y tesorero, la elaboración de este inventario se realizará dos veces al año, el primero a más tardar el último día hábil del mes de junio, el segundo el último día hábil del mes de diciembre.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 xml:space="preserve">En los organismos públicos descentralizados y fideicomisos públicos de carácter municipal, el responsable de elaborar el inventario general de bienes muebles corresponde al director general o su equivalente, conjuntamente con el comisario y el órgano de control interno, debiendo firmarlo simultáneamente el tesorero.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b/>
          <w:i/>
          <w:sz w:val="22"/>
          <w:szCs w:val="22"/>
        </w:rPr>
        <w:t>VIGÉSIMO SEGUNDO</w:t>
      </w:r>
      <w:r w:rsidRPr="00BF3B15">
        <w:rPr>
          <w:rFonts w:ascii="Palatino Linotype" w:hAnsi="Palatino Linotype"/>
          <w:i/>
          <w:sz w:val="22"/>
          <w:szCs w:val="22"/>
        </w:rPr>
        <w:t xml:space="preserve">: </w:t>
      </w:r>
      <w:r w:rsidRPr="00BF3B15">
        <w:rPr>
          <w:rFonts w:ascii="Palatino Linotype" w:hAnsi="Palatino Linotype"/>
          <w:b/>
          <w:i/>
          <w:sz w:val="22"/>
          <w:szCs w:val="22"/>
        </w:rPr>
        <w:t>Las entidades fiscalizables, registrarán los movimientos de alta o baja de sus activos efectuados en el mes y los reflejarán en el informe mensual que es presentado al Órgano Superior, a través del formato "Inventario de Bienes Muebles".</w:t>
      </w:r>
      <w:r w:rsidRPr="00BF3B15">
        <w:rPr>
          <w:rFonts w:ascii="Palatino Linotype" w:hAnsi="Palatino Linotype"/>
          <w:i/>
          <w:sz w:val="22"/>
          <w:szCs w:val="22"/>
        </w:rPr>
        <w:t xml:space="preserve"> En los meses de junio y diciembre presentarán el resultado del levantamiento físico de inventario, así como la integración de sus saldos. Dicha información deberá integrarse en el disco número 2 del citado informe mensual.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 xml:space="preserve">Tratándose específicamente del registro y control de vehículos automotores y maquinaria éstos deberán especificar en el inventario el número de chasis y motor; en caso de que un vehículo requiera cambio de motor, el titular de la unidad administrativa correspondiente, tendrá que justificar, a través de un dictamen técnico o legal según corresponda, mediante acta administrativa en la que intervendrán el usuario, el titular del órgano de control interno y el secretario; soportándolo con la factura.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 xml:space="preserve">Lo propio harán en el ámbito de su respectiva competencia los organismos descentralizados y fideicomisos públicos de carácter municipal.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 xml:space="preserve">En caso de robo de motores a vehículos o maquinaria, el usuario de la unidad, tendrá que reportarlo al titular de la unidad administrativa a efecto de levantar el acta </w:t>
      </w:r>
      <w:r w:rsidRPr="00BF3B15">
        <w:rPr>
          <w:rFonts w:ascii="Palatino Linotype" w:hAnsi="Palatino Linotype"/>
          <w:i/>
          <w:sz w:val="22"/>
          <w:szCs w:val="22"/>
        </w:rPr>
        <w:lastRenderedPageBreak/>
        <w:t xml:space="preserve">correspondiente ante el órgano de control interno, en este documento participarán: el usuario de la unidad, el jefe superior inmediato, el titular del órgano de contralor interno, secretario o director general según sea el caso y representante legal de la entidad fiscalizable, éste último tiene la obligación de dar vista al ministerio público para llevar a cabo las investigaciones pertinentes y deslindar responsabilidades. </w:t>
      </w:r>
    </w:p>
    <w:p w:rsidR="005338CD" w:rsidRPr="00BF3B15" w:rsidRDefault="005338CD"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Los vehículos de uso operativo deberán exhibir en sus portezuelas delanteras o en lugar visible una calcomanía o rotulado permanente de la identificación oficial del municipio, u organismo descentralizado municipal, según corresponda. Aquellos que por la naturaleza de las funciones de las unidades administrativas, no deban contar con esta identificación, tienen que obtener la autorización del órgano máximo de gobierno.</w:t>
      </w:r>
      <w:r w:rsidR="001358C9" w:rsidRPr="00BF3B15">
        <w:rPr>
          <w:rFonts w:ascii="Palatino Linotype" w:hAnsi="Palatino Linotype"/>
          <w:i/>
          <w:sz w:val="22"/>
          <w:szCs w:val="22"/>
        </w:rPr>
        <w:t>”</w:t>
      </w:r>
    </w:p>
    <w:p w:rsidR="001358C9" w:rsidRPr="00BF3B15" w:rsidRDefault="001358C9" w:rsidP="0025668F">
      <w:pPr>
        <w:autoSpaceDE w:val="0"/>
        <w:autoSpaceDN w:val="0"/>
        <w:adjustRightInd w:val="0"/>
        <w:spacing w:before="120" w:after="120"/>
        <w:ind w:left="851" w:right="899"/>
        <w:jc w:val="both"/>
        <w:rPr>
          <w:rFonts w:ascii="Palatino Linotype" w:hAnsi="Palatino Linotype"/>
          <w:i/>
          <w:sz w:val="22"/>
          <w:szCs w:val="22"/>
        </w:rPr>
      </w:pPr>
      <w:r w:rsidRPr="00BF3B15">
        <w:rPr>
          <w:rFonts w:ascii="Palatino Linotype" w:hAnsi="Palatino Linotype"/>
          <w:i/>
          <w:sz w:val="22"/>
          <w:szCs w:val="22"/>
        </w:rPr>
        <w:t>(Énfasis añadido)</w:t>
      </w:r>
    </w:p>
    <w:p w:rsidR="0025668F" w:rsidRPr="00BF3B15" w:rsidRDefault="0025668F" w:rsidP="00140E66">
      <w:pPr>
        <w:autoSpaceDE w:val="0"/>
        <w:autoSpaceDN w:val="0"/>
        <w:adjustRightInd w:val="0"/>
        <w:spacing w:before="240" w:after="360" w:line="360" w:lineRule="auto"/>
        <w:ind w:right="49"/>
        <w:jc w:val="both"/>
        <w:rPr>
          <w:rFonts w:ascii="Palatino Linotype" w:hAnsi="Palatino Linotype" w:cs="Arial"/>
          <w:lang w:eastAsia="en-US"/>
        </w:rPr>
      </w:pPr>
      <w:r w:rsidRPr="00BF3B15">
        <w:rPr>
          <w:rFonts w:ascii="Palatino Linotype" w:hAnsi="Palatino Linotype" w:cs="Arial"/>
          <w:lang w:eastAsia="en-US"/>
        </w:rPr>
        <w:t xml:space="preserve">De la normativa en comento, el inventario es la lista en la que se registran y describen todos los bienes muebles propiedad de los entes fiscalizables, en este caso, los del </w:t>
      </w:r>
      <w:r w:rsidR="00140E66" w:rsidRPr="00BF3B15">
        <w:rPr>
          <w:rFonts w:ascii="Palatino Linotype" w:hAnsi="Palatino Linotype" w:cs="Arial"/>
          <w:b/>
          <w:lang w:eastAsia="en-US"/>
        </w:rPr>
        <w:t>SUJETO OBLIGADO</w:t>
      </w:r>
      <w:r w:rsidRPr="00BF3B15">
        <w:rPr>
          <w:rFonts w:ascii="Palatino Linotype" w:hAnsi="Palatino Linotype" w:cs="Arial"/>
          <w:lang w:eastAsia="en-US"/>
        </w:rPr>
        <w:t xml:space="preserve">, cuya </w:t>
      </w:r>
      <w:r w:rsidR="00140E66" w:rsidRPr="00BF3B15">
        <w:rPr>
          <w:rFonts w:ascii="Palatino Linotype" w:hAnsi="Palatino Linotype" w:cs="Arial"/>
          <w:lang w:eastAsia="en-US"/>
        </w:rPr>
        <w:t xml:space="preserve">finalidad es llevar a cabo </w:t>
      </w:r>
      <w:r w:rsidRPr="00BF3B15">
        <w:rPr>
          <w:rFonts w:ascii="Palatino Linotype" w:hAnsi="Palatino Linotype" w:cs="Arial"/>
          <w:lang w:eastAsia="en-US"/>
        </w:rPr>
        <w:t xml:space="preserve">un </w:t>
      </w:r>
      <w:r w:rsidR="00140E66" w:rsidRPr="00BF3B15">
        <w:rPr>
          <w:rFonts w:ascii="Palatino Linotype" w:hAnsi="Palatino Linotype" w:cs="Arial"/>
          <w:lang w:eastAsia="en-US"/>
        </w:rPr>
        <w:t xml:space="preserve">listado de </w:t>
      </w:r>
      <w:r w:rsidRPr="00BF3B15">
        <w:rPr>
          <w:rFonts w:ascii="Palatino Linotype" w:hAnsi="Palatino Linotype" w:cs="Arial"/>
          <w:lang w:eastAsia="en-US"/>
        </w:rPr>
        <w:t xml:space="preserve">los bienes </w:t>
      </w:r>
      <w:r w:rsidR="00140E66" w:rsidRPr="00BF3B15">
        <w:rPr>
          <w:rFonts w:ascii="Palatino Linotype" w:hAnsi="Palatino Linotype" w:cs="Arial"/>
          <w:lang w:eastAsia="en-US"/>
        </w:rPr>
        <w:t xml:space="preserve">registrados </w:t>
      </w:r>
      <w:r w:rsidRPr="00BF3B15">
        <w:rPr>
          <w:rFonts w:ascii="Palatino Linotype" w:hAnsi="Palatino Linotype" w:cs="Arial"/>
          <w:lang w:eastAsia="en-US"/>
        </w:rPr>
        <w:t>con los que cuentan las entidades fiscalizables, conteniendo sus características de identificación, tales como: nombre, número de inventario, marca, modelo, serie, uso, número de factura, costo, fecha de adquisición, estado de conservación</w:t>
      </w:r>
      <w:r w:rsidRPr="00BF3B15">
        <w:rPr>
          <w:rFonts w:ascii="Palatino Linotype" w:hAnsi="Palatino Linotype" w:cs="Arial"/>
          <w:bCs/>
          <w:lang w:eastAsia="en-US"/>
        </w:rPr>
        <w:t>, uso, medio de adquisición, situación legal, valor y todos los demás datos que se solicitan en la cédula.</w:t>
      </w:r>
    </w:p>
    <w:p w:rsidR="00140E66" w:rsidRPr="00BF3B15" w:rsidRDefault="00140E66" w:rsidP="001358C9">
      <w:pPr>
        <w:autoSpaceDE w:val="0"/>
        <w:autoSpaceDN w:val="0"/>
        <w:adjustRightInd w:val="0"/>
        <w:spacing w:before="240" w:after="360" w:line="360" w:lineRule="auto"/>
        <w:ind w:right="49"/>
        <w:jc w:val="both"/>
        <w:rPr>
          <w:rFonts w:ascii="Palatino Linotype" w:hAnsi="Palatino Linotype" w:cs="Arial"/>
        </w:rPr>
      </w:pPr>
      <w:r w:rsidRPr="00BF3B15">
        <w:rPr>
          <w:rFonts w:ascii="Palatino Linotype" w:hAnsi="Palatino Linotype" w:cs="Arial"/>
          <w:color w:val="000000"/>
          <w:lang w:eastAsia="es-MX"/>
        </w:rPr>
        <w:t xml:space="preserve">En ese orden de ideas, </w:t>
      </w:r>
      <w:r w:rsidRPr="00BF3B15">
        <w:rPr>
          <w:rFonts w:ascii="Palatino Linotype" w:hAnsi="Palatino Linotype" w:cs="Arial"/>
          <w:b/>
          <w:color w:val="000000"/>
          <w:lang w:eastAsia="es-MX"/>
        </w:rPr>
        <w:t>EL SUJETO OBLIGADO</w:t>
      </w:r>
      <w:r w:rsidRPr="00BF3B15">
        <w:rPr>
          <w:rFonts w:ascii="Palatino Linotype" w:hAnsi="Palatino Linotype" w:cs="Arial"/>
          <w:color w:val="000000"/>
          <w:lang w:eastAsia="es-MX"/>
        </w:rPr>
        <w:t xml:space="preserve"> tiene la obligación de contar con información relativa al registro de bienes, información que debe ser actualizada dos veces al año, siendo la primera en e</w:t>
      </w:r>
      <w:r w:rsidRPr="00BF3B15">
        <w:rPr>
          <w:rFonts w:ascii="Palatino Linotype" w:hAnsi="Palatino Linotype" w:cs="Arial"/>
        </w:rPr>
        <w:t>l</w:t>
      </w:r>
      <w:r w:rsidRPr="00BF3B15">
        <w:rPr>
          <w:rFonts w:ascii="Palatino Linotype" w:hAnsi="Palatino Linotype" w:cs="Arial"/>
          <w:b/>
        </w:rPr>
        <w:t xml:space="preserve"> mes de junio y la segunda en el mes de diciembre</w:t>
      </w:r>
      <w:r w:rsidRPr="00BF3B15">
        <w:rPr>
          <w:rFonts w:ascii="Palatino Linotype" w:hAnsi="Palatino Linotype" w:cs="Arial"/>
        </w:rPr>
        <w:t>. Ahora bien, atendiendo a que los inventarios referidos deben mantenerse actualizados y tomando en consideración la temporalidad de la información solicitada</w:t>
      </w:r>
      <w:r w:rsidR="001358C9" w:rsidRPr="00BF3B15">
        <w:rPr>
          <w:rFonts w:ascii="Palatino Linotype" w:hAnsi="Palatino Linotype" w:cs="Arial"/>
        </w:rPr>
        <w:t>,</w:t>
      </w:r>
      <w:r w:rsidRPr="00BF3B15">
        <w:rPr>
          <w:rFonts w:ascii="Palatino Linotype" w:hAnsi="Palatino Linotype" w:cs="Arial"/>
        </w:rPr>
        <w:t xml:space="preserve"> es claro que </w:t>
      </w:r>
      <w:r w:rsidRPr="00BF3B15">
        <w:rPr>
          <w:rFonts w:ascii="Palatino Linotype" w:hAnsi="Palatino Linotype" w:cs="Arial"/>
          <w:b/>
        </w:rPr>
        <w:t>EL SUJETO OBLIGADO</w:t>
      </w:r>
      <w:r w:rsidRPr="00BF3B15">
        <w:rPr>
          <w:rFonts w:ascii="Palatino Linotype" w:hAnsi="Palatino Linotype" w:cs="Arial"/>
        </w:rPr>
        <w:t xml:space="preserve"> debe contar con el inventario de bienes muebles actualizado al mes de junio de dos mil dieciocho.</w:t>
      </w:r>
    </w:p>
    <w:p w:rsidR="00140E66" w:rsidRPr="00BF3B15" w:rsidRDefault="00140E66" w:rsidP="001358C9">
      <w:pPr>
        <w:tabs>
          <w:tab w:val="right" w:leader="dot" w:pos="8505"/>
        </w:tabs>
        <w:spacing w:before="240" w:after="240" w:line="360" w:lineRule="auto"/>
        <w:ind w:right="49"/>
        <w:jc w:val="both"/>
        <w:rPr>
          <w:rFonts w:ascii="Palatino Linotype" w:hAnsi="Palatino Linotype"/>
          <w:color w:val="000000"/>
        </w:rPr>
      </w:pPr>
      <w:r w:rsidRPr="00BF3B15">
        <w:rPr>
          <w:rFonts w:ascii="Palatino Linotype" w:hAnsi="Palatino Linotype"/>
          <w:color w:val="000000"/>
        </w:rPr>
        <w:lastRenderedPageBreak/>
        <w:t xml:space="preserve">Cómo ya se mencionó </w:t>
      </w:r>
      <w:r w:rsidRPr="00BF3B15">
        <w:rPr>
          <w:rFonts w:ascii="Palatino Linotype" w:hAnsi="Palatino Linotype"/>
          <w:b/>
          <w:color w:val="000000"/>
        </w:rPr>
        <w:t xml:space="preserve">EL SUJETO OBLIGADO </w:t>
      </w:r>
      <w:r w:rsidRPr="00BF3B15">
        <w:rPr>
          <w:rFonts w:ascii="Palatino Linotype" w:hAnsi="Palatino Linotype"/>
        </w:rPr>
        <w:t xml:space="preserve">está constreñido a presentar al </w:t>
      </w:r>
      <w:r w:rsidR="001358C9" w:rsidRPr="00BF3B15">
        <w:rPr>
          <w:rFonts w:ascii="Palatino Linotype" w:hAnsi="Palatino Linotype"/>
        </w:rPr>
        <w:t>OSFEM</w:t>
      </w:r>
      <w:r w:rsidRPr="00BF3B15">
        <w:rPr>
          <w:rFonts w:ascii="Palatino Linotype" w:hAnsi="Palatino Linotype"/>
        </w:rPr>
        <w:t>, el informe mensual</w:t>
      </w:r>
      <w:r w:rsidR="001358C9" w:rsidRPr="00BF3B15">
        <w:rPr>
          <w:rFonts w:ascii="Palatino Linotype" w:hAnsi="Palatino Linotype"/>
        </w:rPr>
        <w:t>;</w:t>
      </w:r>
      <w:r w:rsidRPr="00BF3B15">
        <w:rPr>
          <w:rFonts w:ascii="Palatino Linotype" w:hAnsi="Palatino Linotype"/>
        </w:rPr>
        <w:t xml:space="preserve"> por lo que</w:t>
      </w:r>
      <w:r w:rsidR="001358C9" w:rsidRPr="00BF3B15">
        <w:rPr>
          <w:rFonts w:ascii="Palatino Linotype" w:hAnsi="Palatino Linotype"/>
        </w:rPr>
        <w:t>,</w:t>
      </w:r>
      <w:r w:rsidRPr="00BF3B15">
        <w:rPr>
          <w:rFonts w:ascii="Palatino Linotype" w:hAnsi="Palatino Linotype"/>
        </w:rPr>
        <w:t xml:space="preserve"> la información referente al presente punto, se encuentra </w:t>
      </w:r>
      <w:r w:rsidRPr="00BF3B15">
        <w:rPr>
          <w:rFonts w:ascii="Palatino Linotype" w:hAnsi="Palatino Linotype"/>
          <w:color w:val="000000"/>
        </w:rPr>
        <w:t>contemplada precisamente en el Disco 2, de la Información de los bienes muebles e inmuebles del Municipio</w:t>
      </w:r>
      <w:r w:rsidRPr="00BF3B15">
        <w:rPr>
          <w:rFonts w:ascii="Palatino Linotype" w:hAnsi="Palatino Linotype" w:cs="Arial"/>
        </w:rPr>
        <w:t>; d</w:t>
      </w:r>
      <w:r w:rsidRPr="00BF3B15">
        <w:rPr>
          <w:rFonts w:ascii="Palatino Linotype" w:hAnsi="Palatino Linotype" w:cs="Arial"/>
          <w:bCs/>
        </w:rPr>
        <w:t xml:space="preserve">e tal manera, dichos formatos constituyen un soporte documental de que la información solicitada por </w:t>
      </w:r>
      <w:r w:rsidRPr="00BF3B15">
        <w:rPr>
          <w:rFonts w:ascii="Palatino Linotype" w:hAnsi="Palatino Linotype" w:cs="Arial"/>
          <w:b/>
          <w:bCs/>
        </w:rPr>
        <w:t>EL RECURRENTE</w:t>
      </w:r>
      <w:r w:rsidRPr="00BF3B15">
        <w:rPr>
          <w:rFonts w:ascii="Palatino Linotype" w:hAnsi="Palatino Linotype" w:cs="Arial"/>
          <w:bCs/>
        </w:rPr>
        <w:t xml:space="preserve">, obra en los archivos del </w:t>
      </w:r>
      <w:r w:rsidR="00B86868" w:rsidRPr="00BF3B15">
        <w:rPr>
          <w:rFonts w:ascii="Palatino Linotype" w:hAnsi="Palatino Linotype" w:cs="Arial"/>
          <w:b/>
          <w:bCs/>
        </w:rPr>
        <w:t>SUJETO OBLIGADO;</w:t>
      </w:r>
      <w:r w:rsidRPr="00BF3B15">
        <w:rPr>
          <w:rFonts w:ascii="Palatino Linotype" w:hAnsi="Palatino Linotype" w:cs="Arial"/>
          <w:bCs/>
        </w:rPr>
        <w:t xml:space="preserve"> </w:t>
      </w:r>
      <w:r w:rsidRPr="00BF3B15">
        <w:rPr>
          <w:rFonts w:ascii="Palatino Linotype" w:hAnsi="Palatino Linotype"/>
          <w:color w:val="000000"/>
        </w:rPr>
        <w:t>tal y como</w:t>
      </w:r>
      <w:r w:rsidR="00B86868" w:rsidRPr="00BF3B15">
        <w:rPr>
          <w:rFonts w:ascii="Palatino Linotype" w:hAnsi="Palatino Linotype"/>
          <w:color w:val="000000"/>
        </w:rPr>
        <w:t>,</w:t>
      </w:r>
      <w:r w:rsidRPr="00BF3B15">
        <w:rPr>
          <w:rFonts w:ascii="Palatino Linotype" w:hAnsi="Palatino Linotype"/>
          <w:color w:val="000000"/>
        </w:rPr>
        <w:t xml:space="preserve"> se muestra en las siguientes imágenes:</w:t>
      </w:r>
      <w:r w:rsidRPr="00BF3B15">
        <w:rPr>
          <w:rFonts w:ascii="Palatino Linotype" w:hAnsi="Palatino Linotype"/>
          <w:color w:val="000000"/>
          <w:lang w:val="es-ES_tradnl"/>
        </w:rPr>
        <w:t xml:space="preserve"> </w:t>
      </w:r>
    </w:p>
    <w:p w:rsidR="00140E66" w:rsidRPr="00BF3B15" w:rsidRDefault="00140E66" w:rsidP="00B86868">
      <w:pPr>
        <w:autoSpaceDE w:val="0"/>
        <w:autoSpaceDN w:val="0"/>
        <w:adjustRightInd w:val="0"/>
        <w:spacing w:before="240" w:after="360" w:line="360" w:lineRule="auto"/>
        <w:ind w:right="49"/>
        <w:jc w:val="center"/>
        <w:rPr>
          <w:rFonts w:ascii="Palatino Linotype" w:hAnsi="Palatino Linotype" w:cs="Arial"/>
        </w:rPr>
      </w:pPr>
      <w:r w:rsidRPr="00BF3B15">
        <w:rPr>
          <w:rFonts w:ascii="Palatino Linotype" w:hAnsi="Palatino Linotype"/>
          <w:noProof/>
          <w:lang w:eastAsia="es-MX"/>
        </w:rPr>
        <mc:AlternateContent>
          <mc:Choice Requires="wps">
            <w:drawing>
              <wp:anchor distT="0" distB="0" distL="114300" distR="114300" simplePos="0" relativeHeight="251667456" behindDoc="0" locked="0" layoutInCell="1" allowOverlap="1">
                <wp:simplePos x="0" y="0"/>
                <wp:positionH relativeFrom="column">
                  <wp:posOffset>461645</wp:posOffset>
                </wp:positionH>
                <wp:positionV relativeFrom="paragraph">
                  <wp:posOffset>371793</wp:posOffset>
                </wp:positionV>
                <wp:extent cx="4774464" cy="375857"/>
                <wp:effectExtent l="19050" t="19050" r="26670" b="24765"/>
                <wp:wrapNone/>
                <wp:docPr id="26" name="Rectángulo 26"/>
                <wp:cNvGraphicFramePr/>
                <a:graphic xmlns:a="http://schemas.openxmlformats.org/drawingml/2006/main">
                  <a:graphicData uri="http://schemas.microsoft.com/office/word/2010/wordprocessingShape">
                    <wps:wsp>
                      <wps:cNvSpPr/>
                      <wps:spPr>
                        <a:xfrm>
                          <a:off x="0" y="0"/>
                          <a:ext cx="4774464" cy="375857"/>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CAD07" id="Rectángulo 26" o:spid="_x0000_s1026" style="position:absolute;margin-left:36.35pt;margin-top:29.3pt;width:375.95pt;height:2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" filled="f" strokecolor="#1f4d78 [1604]" strokeweight="2.25pt"/>
            </w:pict>
          </mc:Fallback>
        </mc:AlternateContent>
      </w:r>
      <w:r w:rsidRPr="00BF3B15">
        <w:rPr>
          <w:rFonts w:ascii="Palatino Linotype" w:hAnsi="Palatino Linotype"/>
          <w:noProof/>
          <w:lang w:eastAsia="es-MX"/>
        </w:rPr>
        <w:drawing>
          <wp:inline distT="0" distB="0" distL="0" distR="0" wp14:anchorId="62184CC7" wp14:editId="594659E4">
            <wp:extent cx="4733186" cy="875131"/>
            <wp:effectExtent l="0" t="0" r="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PNG"/>
                    <pic:cNvPicPr/>
                  </pic:nvPicPr>
                  <pic:blipFill rotWithShape="1">
                    <a:blip r:embed="rId40">
                      <a:extLst>
                        <a:ext uri="{28A0092B-C50C-407E-A947-70E740481C1C}">
                          <a14:useLocalDpi xmlns:a14="http://schemas.microsoft.com/office/drawing/2010/main" val="0"/>
                        </a:ext>
                      </a:extLst>
                    </a:blip>
                    <a:srcRect l="3003" t="59437" r="1126" b="27777"/>
                    <a:stretch/>
                  </pic:blipFill>
                  <pic:spPr bwMode="auto">
                    <a:xfrm>
                      <a:off x="0" y="0"/>
                      <a:ext cx="4875144" cy="901378"/>
                    </a:xfrm>
                    <a:prstGeom prst="rect">
                      <a:avLst/>
                    </a:prstGeom>
                    <a:ln>
                      <a:noFill/>
                    </a:ln>
                    <a:extLst>
                      <a:ext uri="{53640926-AAD7-44D8-BBD7-CCE9431645EC}">
                        <a14:shadowObscured xmlns:a14="http://schemas.microsoft.com/office/drawing/2010/main"/>
                      </a:ext>
                    </a:extLst>
                  </pic:spPr>
                </pic:pic>
              </a:graphicData>
            </a:graphic>
          </wp:inline>
        </w:drawing>
      </w:r>
    </w:p>
    <w:p w:rsidR="00B86868" w:rsidRPr="00BF3B15" w:rsidRDefault="00B86868" w:rsidP="00B86868">
      <w:pPr>
        <w:autoSpaceDE w:val="0"/>
        <w:autoSpaceDN w:val="0"/>
        <w:adjustRightInd w:val="0"/>
        <w:spacing w:before="240" w:after="360" w:line="360" w:lineRule="auto"/>
        <w:ind w:right="49"/>
        <w:jc w:val="center"/>
        <w:rPr>
          <w:rFonts w:ascii="Palatino Linotype" w:hAnsi="Palatino Linotype" w:cs="Arial"/>
        </w:rPr>
      </w:pPr>
      <w:r w:rsidRPr="00BF3B15">
        <w:rPr>
          <w:noProof/>
          <w:lang w:eastAsia="es-MX"/>
        </w:rPr>
        <w:drawing>
          <wp:inline distT="0" distB="0" distL="0" distR="0" wp14:anchorId="1EA2D184" wp14:editId="674C6DBF">
            <wp:extent cx="5351433" cy="1067435"/>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444" t="13643" r="23142" b="75586"/>
                    <a:stretch/>
                  </pic:blipFill>
                  <pic:spPr bwMode="auto">
                    <a:xfrm>
                      <a:off x="0" y="0"/>
                      <a:ext cx="5442089" cy="1085518"/>
                    </a:xfrm>
                    <a:prstGeom prst="rect">
                      <a:avLst/>
                    </a:prstGeom>
                    <a:ln>
                      <a:noFill/>
                    </a:ln>
                    <a:extLst>
                      <a:ext uri="{53640926-AAD7-44D8-BBD7-CCE9431645EC}">
                        <a14:shadowObscured xmlns:a14="http://schemas.microsoft.com/office/drawing/2010/main"/>
                      </a:ext>
                    </a:extLst>
                  </pic:spPr>
                </pic:pic>
              </a:graphicData>
            </a:graphic>
          </wp:inline>
        </w:drawing>
      </w:r>
    </w:p>
    <w:p w:rsidR="00D90FB4" w:rsidRPr="00BF3B15" w:rsidRDefault="00CF29DA" w:rsidP="00D90FB4">
      <w:pPr>
        <w:spacing w:before="100" w:beforeAutospacing="1" w:after="100" w:afterAutospacing="1" w:line="360" w:lineRule="auto"/>
        <w:jc w:val="both"/>
        <w:rPr>
          <w:rFonts w:ascii="Palatino Linotype" w:hAnsi="Palatino Linotype"/>
          <w:color w:val="000000"/>
        </w:rPr>
      </w:pPr>
      <w:r w:rsidRPr="00BF3B15">
        <w:rPr>
          <w:noProof/>
          <w:lang w:eastAsia="es-MX"/>
        </w:rPr>
        <w:lastRenderedPageBreak/>
        <mc:AlternateContent>
          <mc:Choice Requires="wps">
            <w:drawing>
              <wp:anchor distT="0" distB="0" distL="114300" distR="114300" simplePos="0" relativeHeight="251674624" behindDoc="0" locked="0" layoutInCell="1" allowOverlap="1">
                <wp:simplePos x="0" y="0"/>
                <wp:positionH relativeFrom="column">
                  <wp:posOffset>109114</wp:posOffset>
                </wp:positionH>
                <wp:positionV relativeFrom="paragraph">
                  <wp:posOffset>3587493</wp:posOffset>
                </wp:positionV>
                <wp:extent cx="5666108" cy="1738946"/>
                <wp:effectExtent l="0" t="0" r="29845" b="33020"/>
                <wp:wrapNone/>
                <wp:docPr id="37" name="Conector recto 37"/>
                <wp:cNvGraphicFramePr/>
                <a:graphic xmlns:a="http://schemas.openxmlformats.org/drawingml/2006/main">
                  <a:graphicData uri="http://schemas.microsoft.com/office/word/2010/wordprocessingShape">
                    <wps:wsp>
                      <wps:cNvCnPr/>
                      <wps:spPr>
                        <a:xfrm>
                          <a:off x="0" y="0"/>
                          <a:ext cx="5666108" cy="173894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1C7E9D" id="Conector recto 37"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8.6pt,282.5pt" to="454.75pt,4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" strokecolor="#5b9bd5 [3204]" strokeweight="1.5pt">
                <v:stroke joinstyle="miter"/>
              </v:line>
            </w:pict>
          </mc:Fallback>
        </mc:AlternateContent>
      </w:r>
      <w:r w:rsidR="00B86868" w:rsidRPr="00BF3B15">
        <w:rPr>
          <w:noProof/>
          <w:lang w:eastAsia="es-MX"/>
        </w:rPr>
        <mc:AlternateContent>
          <mc:Choice Requires="wps">
            <w:drawing>
              <wp:anchor distT="0" distB="0" distL="114300" distR="114300" simplePos="0" relativeHeight="251671552" behindDoc="0" locked="0" layoutInCell="1" allowOverlap="1">
                <wp:simplePos x="0" y="0"/>
                <wp:positionH relativeFrom="column">
                  <wp:posOffset>-6295</wp:posOffset>
                </wp:positionH>
                <wp:positionV relativeFrom="paragraph">
                  <wp:posOffset>2303750</wp:posOffset>
                </wp:positionV>
                <wp:extent cx="5581767" cy="465615"/>
                <wp:effectExtent l="19050" t="19050" r="19050" b="10795"/>
                <wp:wrapNone/>
                <wp:docPr id="33" name="Rectángulo 33"/>
                <wp:cNvGraphicFramePr/>
                <a:graphic xmlns:a="http://schemas.openxmlformats.org/drawingml/2006/main">
                  <a:graphicData uri="http://schemas.microsoft.com/office/word/2010/wordprocessingShape">
                    <wps:wsp>
                      <wps:cNvSpPr/>
                      <wps:spPr>
                        <a:xfrm>
                          <a:off x="0" y="0"/>
                          <a:ext cx="5581767" cy="46561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A8D208" id="Rectángulo 33" o:spid="_x0000_s1026" style="position:absolute;margin-left:-.5pt;margin-top:181.4pt;width:439.5pt;height:36.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" filled="f" strokecolor="#1f4d78 [1604]" strokeweight="2.25pt"/>
            </w:pict>
          </mc:Fallback>
        </mc:AlternateContent>
      </w:r>
      <w:r w:rsidR="00140E66" w:rsidRPr="00BF3B15">
        <w:rPr>
          <w:noProof/>
          <w:lang w:eastAsia="es-MX"/>
        </w:rPr>
        <w:drawing>
          <wp:inline distT="0" distB="0" distL="0" distR="0" wp14:anchorId="6ABB5BB5" wp14:editId="30BA15B5">
            <wp:extent cx="5608941" cy="347260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027" t="50163" r="23747" b="4626"/>
                    <a:stretch/>
                  </pic:blipFill>
                  <pic:spPr bwMode="auto">
                    <a:xfrm>
                      <a:off x="0" y="0"/>
                      <a:ext cx="5638314" cy="3490791"/>
                    </a:xfrm>
                    <a:prstGeom prst="rect">
                      <a:avLst/>
                    </a:prstGeom>
                    <a:ln>
                      <a:noFill/>
                    </a:ln>
                    <a:extLst>
                      <a:ext uri="{53640926-AAD7-44D8-BBD7-CCE9431645EC}">
                        <a14:shadowObscured xmlns:a14="http://schemas.microsoft.com/office/drawing/2010/main"/>
                      </a:ext>
                    </a:extLst>
                  </pic:spPr>
                </pic:pic>
              </a:graphicData>
            </a:graphic>
          </wp:inline>
        </w:drawing>
      </w:r>
    </w:p>
    <w:p w:rsidR="00140E66" w:rsidRPr="00BF3B15" w:rsidRDefault="006C2645" w:rsidP="006C2645">
      <w:pPr>
        <w:spacing w:before="100" w:beforeAutospacing="1" w:after="100" w:afterAutospacing="1" w:line="360" w:lineRule="auto"/>
        <w:jc w:val="center"/>
        <w:rPr>
          <w:rFonts w:ascii="Palatino Linotype" w:hAnsi="Palatino Linotype"/>
          <w:color w:val="000000"/>
        </w:rPr>
      </w:pPr>
      <w:r w:rsidRPr="00BF3B15">
        <w:rPr>
          <w:noProof/>
          <w:lang w:eastAsia="es-MX"/>
        </w:rPr>
        <w:lastRenderedPageBreak/>
        <mc:AlternateContent>
          <mc:Choice Requires="wps">
            <w:drawing>
              <wp:anchor distT="0" distB="0" distL="114300" distR="114300" simplePos="0" relativeHeight="251669504" behindDoc="0" locked="0" layoutInCell="1" allowOverlap="1">
                <wp:simplePos x="0" y="0"/>
                <wp:positionH relativeFrom="column">
                  <wp:posOffset>266221</wp:posOffset>
                </wp:positionH>
                <wp:positionV relativeFrom="paragraph">
                  <wp:posOffset>4240331</wp:posOffset>
                </wp:positionV>
                <wp:extent cx="5525536" cy="3601233"/>
                <wp:effectExtent l="0" t="0" r="37465" b="37465"/>
                <wp:wrapNone/>
                <wp:docPr id="30" name="Conector recto 30"/>
                <wp:cNvGraphicFramePr/>
                <a:graphic xmlns:a="http://schemas.openxmlformats.org/drawingml/2006/main">
                  <a:graphicData uri="http://schemas.microsoft.com/office/word/2010/wordprocessingShape">
                    <wps:wsp>
                      <wps:cNvCnPr/>
                      <wps:spPr>
                        <a:xfrm>
                          <a:off x="0" y="0"/>
                          <a:ext cx="5525536" cy="360123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66851B" id="Conector recto 3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5pt,333.9pt" to="456.05pt,6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" strokecolor="#5b9bd5 [3204]" strokeweight="1.5pt">
                <v:stroke joinstyle="miter"/>
              </v:line>
            </w:pict>
          </mc:Fallback>
        </mc:AlternateContent>
      </w:r>
      <w:r w:rsidR="00140E66" w:rsidRPr="00BF3B15">
        <w:rPr>
          <w:noProof/>
          <w:lang w:eastAsia="es-MX"/>
        </w:rPr>
        <w:drawing>
          <wp:inline distT="0" distB="0" distL="0" distR="0" wp14:anchorId="3D9E2FD8" wp14:editId="789E343A">
            <wp:extent cx="5626100" cy="410077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8543" t="21129" r="21458" b="15036"/>
                    <a:stretch/>
                  </pic:blipFill>
                  <pic:spPr bwMode="auto">
                    <a:xfrm>
                      <a:off x="0" y="0"/>
                      <a:ext cx="5735962" cy="4180852"/>
                    </a:xfrm>
                    <a:prstGeom prst="rect">
                      <a:avLst/>
                    </a:prstGeom>
                    <a:ln>
                      <a:noFill/>
                    </a:ln>
                    <a:extLst>
                      <a:ext uri="{53640926-AAD7-44D8-BBD7-CCE9431645EC}">
                        <a14:shadowObscured xmlns:a14="http://schemas.microsoft.com/office/drawing/2010/main"/>
                      </a:ext>
                    </a:extLst>
                  </pic:spPr>
                </pic:pic>
              </a:graphicData>
            </a:graphic>
          </wp:inline>
        </w:drawing>
      </w:r>
    </w:p>
    <w:p w:rsidR="006C2645" w:rsidRPr="00BF3B15" w:rsidRDefault="00E93DB1" w:rsidP="006C2645">
      <w:pPr>
        <w:spacing w:before="100" w:beforeAutospacing="1" w:after="100" w:afterAutospacing="1" w:line="360" w:lineRule="auto"/>
        <w:jc w:val="center"/>
        <w:rPr>
          <w:rFonts w:ascii="Palatino Linotype" w:hAnsi="Palatino Linotype"/>
          <w:color w:val="000000"/>
        </w:rPr>
      </w:pPr>
      <w:r w:rsidRPr="00BF3B15">
        <w:rPr>
          <w:noProof/>
          <w:lang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29210</wp:posOffset>
                </wp:positionH>
                <wp:positionV relativeFrom="paragraph">
                  <wp:posOffset>4261485</wp:posOffset>
                </wp:positionV>
                <wp:extent cx="661987" cy="242888"/>
                <wp:effectExtent l="0" t="19050" r="43180" b="43180"/>
                <wp:wrapNone/>
                <wp:docPr id="35" name="Flecha derecha 35"/>
                <wp:cNvGraphicFramePr/>
                <a:graphic xmlns:a="http://schemas.openxmlformats.org/drawingml/2006/main">
                  <a:graphicData uri="http://schemas.microsoft.com/office/word/2010/wordprocessingShape">
                    <wps:wsp>
                      <wps:cNvSpPr/>
                      <wps:spPr>
                        <a:xfrm>
                          <a:off x="0" y="0"/>
                          <a:ext cx="661987" cy="24288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E765A9" id="Flecha derecha 35" o:spid="_x0000_s1026" type="#_x0000_t13" style="position:absolute;margin-left:2.3pt;margin-top:335.55pt;width:52.1pt;height:19.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" adj="17637" fillcolor="#5b9bd5 [3204]" strokecolor="#1f4d78 [1604]" strokeweight="1pt"/>
            </w:pict>
          </mc:Fallback>
        </mc:AlternateContent>
      </w:r>
      <w:r w:rsidR="006C2645" w:rsidRPr="00BF3B15">
        <w:rPr>
          <w:noProof/>
          <w:lang w:eastAsia="es-MX"/>
        </w:rPr>
        <w:drawing>
          <wp:inline distT="0" distB="0" distL="0" distR="0" wp14:anchorId="2F32D5DD" wp14:editId="4C435E5E">
            <wp:extent cx="5351145" cy="7466665"/>
            <wp:effectExtent l="0" t="0" r="1905"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3400" t="6772" r="32429" b="16460"/>
                    <a:stretch/>
                  </pic:blipFill>
                  <pic:spPr bwMode="auto">
                    <a:xfrm>
                      <a:off x="0" y="0"/>
                      <a:ext cx="5391184" cy="7522533"/>
                    </a:xfrm>
                    <a:prstGeom prst="rect">
                      <a:avLst/>
                    </a:prstGeom>
                    <a:ln>
                      <a:noFill/>
                    </a:ln>
                    <a:extLst>
                      <a:ext uri="{53640926-AAD7-44D8-BBD7-CCE9431645EC}">
                        <a14:shadowObscured xmlns:a14="http://schemas.microsoft.com/office/drawing/2010/main"/>
                      </a:ext>
                    </a:extLst>
                  </pic:spPr>
                </pic:pic>
              </a:graphicData>
            </a:graphic>
          </wp:inline>
        </w:drawing>
      </w:r>
    </w:p>
    <w:p w:rsidR="006C2645" w:rsidRPr="00BF3B15" w:rsidRDefault="006C2645" w:rsidP="006C2645">
      <w:pPr>
        <w:spacing w:before="100" w:beforeAutospacing="1" w:after="100" w:afterAutospacing="1" w:line="360" w:lineRule="auto"/>
        <w:jc w:val="center"/>
        <w:rPr>
          <w:rFonts w:ascii="Palatino Linotype" w:hAnsi="Palatino Linotype"/>
          <w:color w:val="000000"/>
        </w:rPr>
      </w:pPr>
      <w:r w:rsidRPr="00BF3B15">
        <w:rPr>
          <w:noProof/>
          <w:lang w:eastAsia="es-MX"/>
        </w:rPr>
        <w:lastRenderedPageBreak/>
        <mc:AlternateContent>
          <mc:Choice Requires="wps">
            <w:drawing>
              <wp:anchor distT="0" distB="0" distL="114300" distR="114300" simplePos="0" relativeHeight="251670528" behindDoc="0" locked="0" layoutInCell="1" allowOverlap="1">
                <wp:simplePos x="0" y="0"/>
                <wp:positionH relativeFrom="column">
                  <wp:posOffset>485003</wp:posOffset>
                </wp:positionH>
                <wp:positionV relativeFrom="paragraph">
                  <wp:posOffset>5693274</wp:posOffset>
                </wp:positionV>
                <wp:extent cx="5334935" cy="2187828"/>
                <wp:effectExtent l="19050" t="19050" r="37465" b="22225"/>
                <wp:wrapNone/>
                <wp:docPr id="32" name="Conector recto 32"/>
                <wp:cNvGraphicFramePr/>
                <a:graphic xmlns:a="http://schemas.openxmlformats.org/drawingml/2006/main">
                  <a:graphicData uri="http://schemas.microsoft.com/office/word/2010/wordprocessingShape">
                    <wps:wsp>
                      <wps:cNvCnPr/>
                      <wps:spPr>
                        <a:xfrm>
                          <a:off x="0" y="0"/>
                          <a:ext cx="5334935" cy="2187828"/>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778A68" id="Conector recto 32"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8.2pt,448.3pt" to="458.25pt,6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" strokecolor="#5b9bd5 [3204]" strokeweight="2.25pt">
                <v:stroke joinstyle="miter"/>
              </v:line>
            </w:pict>
          </mc:Fallback>
        </mc:AlternateContent>
      </w:r>
      <w:r w:rsidRPr="00BF3B15">
        <w:rPr>
          <w:noProof/>
          <w:lang w:eastAsia="es-MX"/>
        </w:rPr>
        <w:drawing>
          <wp:inline distT="0" distB="0" distL="0" distR="0" wp14:anchorId="6B5A2F66" wp14:editId="7DD94B65">
            <wp:extent cx="5791465" cy="5726811"/>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3622" t="32353" r="25307" b="15568"/>
                    <a:stretch/>
                  </pic:blipFill>
                  <pic:spPr bwMode="auto">
                    <a:xfrm>
                      <a:off x="0" y="0"/>
                      <a:ext cx="5791835" cy="5727177"/>
                    </a:xfrm>
                    <a:prstGeom prst="rect">
                      <a:avLst/>
                    </a:prstGeom>
                    <a:ln>
                      <a:noFill/>
                    </a:ln>
                    <a:extLst>
                      <a:ext uri="{53640926-AAD7-44D8-BBD7-CCE9431645EC}">
                        <a14:shadowObscured xmlns:a14="http://schemas.microsoft.com/office/drawing/2010/main"/>
                      </a:ext>
                    </a:extLst>
                  </pic:spPr>
                </pic:pic>
              </a:graphicData>
            </a:graphic>
          </wp:inline>
        </w:drawing>
      </w:r>
    </w:p>
    <w:p w:rsidR="006C2645" w:rsidRPr="00BF3B15" w:rsidRDefault="00D9244E" w:rsidP="006C2645">
      <w:pPr>
        <w:spacing w:before="100" w:beforeAutospacing="1" w:after="100" w:afterAutospacing="1" w:line="360" w:lineRule="auto"/>
        <w:jc w:val="center"/>
        <w:rPr>
          <w:rFonts w:ascii="Palatino Linotype" w:hAnsi="Palatino Linotype"/>
          <w:color w:val="000000"/>
        </w:rPr>
      </w:pPr>
      <w:r w:rsidRPr="00BF3B15">
        <w:rPr>
          <w:noProof/>
          <w:lang w:eastAsia="es-MX"/>
        </w:rPr>
        <w:lastRenderedPageBreak/>
        <mc:AlternateContent>
          <mc:Choice Requires="wps">
            <w:drawing>
              <wp:anchor distT="0" distB="0" distL="114300" distR="114300" simplePos="0" relativeHeight="251673600" behindDoc="0" locked="0" layoutInCell="1" allowOverlap="1">
                <wp:simplePos x="0" y="0"/>
                <wp:positionH relativeFrom="column">
                  <wp:posOffset>91440</wp:posOffset>
                </wp:positionH>
                <wp:positionV relativeFrom="paragraph">
                  <wp:posOffset>3780473</wp:posOffset>
                </wp:positionV>
                <wp:extent cx="604838" cy="219075"/>
                <wp:effectExtent l="0" t="19050" r="43180" b="47625"/>
                <wp:wrapNone/>
                <wp:docPr id="36" name="Flecha derecha 36"/>
                <wp:cNvGraphicFramePr/>
                <a:graphic xmlns:a="http://schemas.openxmlformats.org/drawingml/2006/main">
                  <a:graphicData uri="http://schemas.microsoft.com/office/word/2010/wordprocessingShape">
                    <wps:wsp>
                      <wps:cNvSpPr/>
                      <wps:spPr>
                        <a:xfrm>
                          <a:off x="0" y="0"/>
                          <a:ext cx="604838" cy="2190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F9EC08" id="Flecha derecha 36" o:spid="_x0000_s1026" type="#_x0000_t13" style="position:absolute;margin-left:7.2pt;margin-top:297.7pt;width:47.65pt;height:17.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" adj="17688" fillcolor="#5b9bd5 [3204]" strokecolor="#1f4d78 [1604]" strokeweight="1pt"/>
            </w:pict>
          </mc:Fallback>
        </mc:AlternateContent>
      </w:r>
      <w:r w:rsidR="006C2645" w:rsidRPr="00BF3B15">
        <w:rPr>
          <w:noProof/>
          <w:lang w:eastAsia="es-MX"/>
        </w:rPr>
        <w:drawing>
          <wp:inline distT="0" distB="0" distL="0" distR="0" wp14:anchorId="3462CEEB" wp14:editId="4DA8EEDA">
            <wp:extent cx="5304669" cy="7651789"/>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653" t="13770" r="31166" b="11494"/>
                    <a:stretch/>
                  </pic:blipFill>
                  <pic:spPr bwMode="auto">
                    <a:xfrm>
                      <a:off x="0" y="0"/>
                      <a:ext cx="5318210" cy="7671322"/>
                    </a:xfrm>
                    <a:prstGeom prst="rect">
                      <a:avLst/>
                    </a:prstGeom>
                    <a:ln>
                      <a:noFill/>
                    </a:ln>
                    <a:extLst>
                      <a:ext uri="{53640926-AAD7-44D8-BBD7-CCE9431645EC}">
                        <a14:shadowObscured xmlns:a14="http://schemas.microsoft.com/office/drawing/2010/main"/>
                      </a:ext>
                    </a:extLst>
                  </pic:spPr>
                </pic:pic>
              </a:graphicData>
            </a:graphic>
          </wp:inline>
        </w:drawing>
      </w:r>
    </w:p>
    <w:p w:rsidR="006C2645" w:rsidRPr="00BF3B15" w:rsidRDefault="006C2645" w:rsidP="006C2645">
      <w:pPr>
        <w:autoSpaceDE w:val="0"/>
        <w:autoSpaceDN w:val="0"/>
        <w:adjustRightInd w:val="0"/>
        <w:spacing w:before="240" w:after="240" w:line="360" w:lineRule="auto"/>
        <w:ind w:right="49"/>
        <w:jc w:val="both"/>
        <w:rPr>
          <w:rFonts w:ascii="Palatino Linotype" w:hAnsi="Palatino Linotype" w:cs="Arial"/>
        </w:rPr>
      </w:pPr>
      <w:r w:rsidRPr="00BF3B15">
        <w:rPr>
          <w:rFonts w:ascii="Palatino Linotype" w:hAnsi="Palatino Linotype" w:cs="Arial"/>
          <w:lang w:eastAsia="en-US"/>
        </w:rPr>
        <w:lastRenderedPageBreak/>
        <w:t>Una vez precisado lo anterior, se señala que el</w:t>
      </w:r>
      <w:r w:rsidRPr="00BF3B15">
        <w:rPr>
          <w:rFonts w:ascii="Palatino Linotype" w:hAnsi="Palatino Linotype" w:cs="Arial"/>
        </w:rPr>
        <w:t xml:space="preserve"> inventario materia de estudio le reviste el carácter de información pública</w:t>
      </w:r>
      <w:r w:rsidR="00B86868" w:rsidRPr="00BF3B15">
        <w:rPr>
          <w:rFonts w:ascii="Palatino Linotype" w:hAnsi="Palatino Linotype" w:cs="Arial"/>
        </w:rPr>
        <w:t>,</w:t>
      </w:r>
      <w:r w:rsidRPr="00BF3B15">
        <w:rPr>
          <w:rFonts w:ascii="Palatino Linotype" w:hAnsi="Palatino Linotype" w:cs="Arial"/>
        </w:rPr>
        <w:t xml:space="preserve"> conforme a lo dispuesto en el artículo 70, fracción XXXIV de la Ley General de Transparencia y Acceso a la Información Pública, que estipula:</w:t>
      </w:r>
    </w:p>
    <w:p w:rsidR="006C2645" w:rsidRPr="00BF3B15" w:rsidRDefault="006C2645" w:rsidP="006C2645">
      <w:pPr>
        <w:spacing w:before="120" w:after="120"/>
        <w:ind w:left="851" w:right="899"/>
        <w:jc w:val="both"/>
        <w:rPr>
          <w:rFonts w:ascii="Palatino Linotype" w:hAnsi="Palatino Linotype" w:cs="Arial"/>
          <w:i/>
          <w:sz w:val="22"/>
          <w:szCs w:val="22"/>
        </w:rPr>
      </w:pPr>
      <w:r w:rsidRPr="00BF3B15">
        <w:rPr>
          <w:rFonts w:ascii="Palatino Linotype" w:hAnsi="Palatino Linotype" w:cs="Arial"/>
          <w:bCs/>
          <w:i/>
          <w:sz w:val="22"/>
          <w:szCs w:val="22"/>
        </w:rPr>
        <w:t>“</w:t>
      </w:r>
      <w:r w:rsidRPr="00BF3B15">
        <w:rPr>
          <w:rFonts w:ascii="Palatino Linotype" w:hAnsi="Palatino Linotype" w:cs="Arial"/>
          <w:b/>
          <w:bCs/>
          <w:i/>
          <w:sz w:val="22"/>
          <w:szCs w:val="22"/>
        </w:rPr>
        <w:t>Artículo 70. </w:t>
      </w:r>
      <w:r w:rsidRPr="00BF3B15">
        <w:rPr>
          <w:rFonts w:ascii="Palatino Linotype" w:hAnsi="Palatino Linotype" w:cs="Arial"/>
          <w:i/>
          <w:sz w:val="22"/>
          <w:szCs w:val="22"/>
        </w:rPr>
        <w:t xml:space="preserve">En la Ley Federal y de las Entidades Federativas se contemplará que </w:t>
      </w:r>
      <w:r w:rsidRPr="00BF3B15">
        <w:rPr>
          <w:rFonts w:ascii="Palatino Linotype" w:hAnsi="Palatino Linotype" w:cs="Arial"/>
          <w:b/>
          <w:i/>
          <w:sz w:val="22"/>
          <w:szCs w:val="22"/>
        </w:rPr>
        <w:t>los sujetos obligados pongan a disposición del público y mantengan actualizada</w:t>
      </w:r>
      <w:r w:rsidRPr="00BF3B15">
        <w:rPr>
          <w:rFonts w:ascii="Palatino Linotype" w:hAnsi="Palatino Linotype" w:cs="Arial"/>
          <w:i/>
          <w:sz w:val="22"/>
          <w:szCs w:val="22"/>
        </w:rPr>
        <w:t>, en los respectivos medios electrónicos, de acuerdo con sus facultades, atribuciones, funciones u objeto social, según corresponda, la información, por lo menos, de los temas, documentos y políticas que a continuación se señalan:</w:t>
      </w:r>
    </w:p>
    <w:p w:rsidR="006C2645" w:rsidRPr="00BF3B15" w:rsidRDefault="006C2645" w:rsidP="006C2645">
      <w:pPr>
        <w:spacing w:before="120" w:after="120"/>
        <w:ind w:left="851" w:right="899"/>
        <w:jc w:val="both"/>
        <w:rPr>
          <w:rFonts w:ascii="Palatino Linotype" w:hAnsi="Palatino Linotype" w:cs="Arial"/>
          <w:i/>
          <w:sz w:val="22"/>
          <w:szCs w:val="22"/>
        </w:rPr>
      </w:pPr>
      <w:r w:rsidRPr="00BF3B15">
        <w:rPr>
          <w:rFonts w:ascii="Palatino Linotype" w:hAnsi="Palatino Linotype" w:cs="Arial"/>
          <w:i/>
          <w:sz w:val="22"/>
          <w:szCs w:val="22"/>
        </w:rPr>
        <w:t>…</w:t>
      </w:r>
    </w:p>
    <w:p w:rsidR="006C2645" w:rsidRPr="00BF3B15" w:rsidRDefault="006C2645" w:rsidP="006C2645">
      <w:pPr>
        <w:spacing w:before="120" w:after="120"/>
        <w:ind w:left="851" w:right="899"/>
        <w:jc w:val="both"/>
        <w:rPr>
          <w:rFonts w:ascii="Palatino Linotype" w:hAnsi="Palatino Linotype" w:cs="Arial"/>
          <w:i/>
          <w:sz w:val="22"/>
          <w:szCs w:val="22"/>
        </w:rPr>
      </w:pPr>
      <w:r w:rsidRPr="00BF3B15">
        <w:rPr>
          <w:rFonts w:ascii="Palatino Linotype" w:hAnsi="Palatino Linotype" w:cs="Arial"/>
          <w:i/>
          <w:sz w:val="22"/>
          <w:szCs w:val="22"/>
        </w:rPr>
        <w:t xml:space="preserve">XXXIV.   </w:t>
      </w:r>
      <w:r w:rsidRPr="00BF3B15">
        <w:rPr>
          <w:rFonts w:ascii="Palatino Linotype" w:hAnsi="Palatino Linotype" w:cs="Arial"/>
          <w:b/>
          <w:i/>
          <w:sz w:val="22"/>
          <w:szCs w:val="22"/>
        </w:rPr>
        <w:t>El inventario de bienes</w:t>
      </w:r>
      <w:r w:rsidRPr="00BF3B15">
        <w:rPr>
          <w:rFonts w:ascii="Palatino Linotype" w:hAnsi="Palatino Linotype" w:cs="Arial"/>
          <w:i/>
          <w:sz w:val="22"/>
          <w:szCs w:val="22"/>
        </w:rPr>
        <w:t xml:space="preserve"> muebles e </w:t>
      </w:r>
      <w:r w:rsidRPr="00BF3B15">
        <w:rPr>
          <w:rFonts w:ascii="Palatino Linotype" w:hAnsi="Palatino Linotype" w:cs="Arial"/>
          <w:b/>
          <w:i/>
          <w:sz w:val="22"/>
          <w:szCs w:val="22"/>
        </w:rPr>
        <w:t>inmuebles en posesión y propiedad</w:t>
      </w:r>
      <w:r w:rsidRPr="00BF3B15">
        <w:rPr>
          <w:rFonts w:ascii="Palatino Linotype" w:hAnsi="Palatino Linotype" w:cs="Arial"/>
          <w:i/>
          <w:sz w:val="22"/>
          <w:szCs w:val="22"/>
        </w:rPr>
        <w:t>;</w:t>
      </w:r>
    </w:p>
    <w:p w:rsidR="006C2645" w:rsidRPr="00BF3B15" w:rsidRDefault="006C2645" w:rsidP="006C2645">
      <w:pPr>
        <w:spacing w:before="120" w:after="120"/>
        <w:ind w:left="851" w:right="899"/>
        <w:jc w:val="both"/>
        <w:rPr>
          <w:rFonts w:ascii="Palatino Linotype" w:hAnsi="Palatino Linotype" w:cs="Arial"/>
          <w:i/>
          <w:sz w:val="22"/>
          <w:szCs w:val="22"/>
        </w:rPr>
      </w:pPr>
      <w:r w:rsidRPr="00BF3B15">
        <w:rPr>
          <w:rFonts w:ascii="Palatino Linotype" w:hAnsi="Palatino Linotype" w:cs="Arial"/>
          <w:i/>
          <w:sz w:val="22"/>
          <w:szCs w:val="22"/>
        </w:rPr>
        <w:t>…” (Sic)</w:t>
      </w:r>
    </w:p>
    <w:p w:rsidR="006C2645" w:rsidRPr="00BF3B15" w:rsidRDefault="006C2645" w:rsidP="006C2645">
      <w:pPr>
        <w:spacing w:before="120" w:after="120"/>
        <w:ind w:left="851" w:right="899"/>
        <w:jc w:val="both"/>
        <w:rPr>
          <w:rFonts w:ascii="Palatino Linotype" w:hAnsi="Palatino Linotype" w:cs="Arial"/>
          <w:sz w:val="22"/>
          <w:szCs w:val="22"/>
        </w:rPr>
      </w:pPr>
      <w:r w:rsidRPr="00BF3B15">
        <w:rPr>
          <w:rFonts w:ascii="Palatino Linotype" w:hAnsi="Palatino Linotype" w:cs="Arial"/>
          <w:sz w:val="22"/>
          <w:szCs w:val="22"/>
        </w:rPr>
        <w:t>(Énfasis añadido)</w:t>
      </w:r>
    </w:p>
    <w:p w:rsidR="006C2645" w:rsidRPr="00BF3B15" w:rsidRDefault="006C2645" w:rsidP="00FD40F1">
      <w:pPr>
        <w:spacing w:before="100" w:beforeAutospacing="1" w:after="100" w:afterAutospacing="1" w:line="360" w:lineRule="auto"/>
        <w:jc w:val="both"/>
        <w:rPr>
          <w:rFonts w:ascii="Palatino Linotype" w:hAnsi="Palatino Linotype"/>
          <w:color w:val="000000"/>
        </w:rPr>
      </w:pPr>
      <w:r w:rsidRPr="00BF3B15">
        <w:rPr>
          <w:rFonts w:ascii="Palatino Linotype" w:hAnsi="Palatino Linotype"/>
          <w:color w:val="000000"/>
        </w:rPr>
        <w:t>Asimismo, el artículo 92</w:t>
      </w:r>
      <w:r w:rsidR="00FD40F1" w:rsidRPr="00BF3B15">
        <w:rPr>
          <w:rFonts w:ascii="Palatino Linotype" w:hAnsi="Palatino Linotype"/>
          <w:color w:val="000000"/>
        </w:rPr>
        <w:t>,</w:t>
      </w:r>
      <w:r w:rsidRPr="00BF3B15">
        <w:rPr>
          <w:rFonts w:ascii="Palatino Linotype" w:hAnsi="Palatino Linotype"/>
          <w:color w:val="000000"/>
        </w:rPr>
        <w:t xml:space="preserve"> fracción XXXVIII de la Ley de Transparencia y Acceso a la Información Pública del Estado de México y Municipios, que es del tenor literal siguiente:</w:t>
      </w:r>
    </w:p>
    <w:p w:rsidR="00FD40F1" w:rsidRPr="00BF3B15" w:rsidRDefault="00FD40F1" w:rsidP="00FD40F1">
      <w:pPr>
        <w:spacing w:before="120" w:after="120"/>
        <w:ind w:left="851" w:right="899"/>
        <w:jc w:val="both"/>
        <w:rPr>
          <w:rFonts w:ascii="Palatino Linotype" w:hAnsi="Palatino Linotype" w:cs="Arial"/>
          <w:i/>
          <w:sz w:val="22"/>
          <w:szCs w:val="22"/>
        </w:rPr>
      </w:pPr>
      <w:r w:rsidRPr="00BF3B15">
        <w:rPr>
          <w:rFonts w:ascii="Palatino Linotype" w:hAnsi="Palatino Linotype" w:cs="Arial"/>
          <w:b/>
          <w:bCs/>
          <w:i/>
          <w:sz w:val="22"/>
          <w:szCs w:val="22"/>
        </w:rPr>
        <w:t>“</w:t>
      </w:r>
      <w:r w:rsidRPr="00BF3B15">
        <w:rPr>
          <w:rFonts w:ascii="Palatino Linotype" w:hAnsi="Palatino Linotype" w:cs="Arial"/>
          <w:b/>
          <w:i/>
          <w:sz w:val="22"/>
          <w:szCs w:val="22"/>
        </w:rPr>
        <w:t>Artículo 92</w:t>
      </w:r>
      <w:r w:rsidRPr="00BF3B15">
        <w:rPr>
          <w:rFonts w:ascii="Palatino Linotype" w:hAnsi="Palatino Linotype" w:cs="Arial"/>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rsidR="00FD40F1" w:rsidRPr="00BF3B15" w:rsidRDefault="00FD40F1" w:rsidP="00FD40F1">
      <w:pPr>
        <w:spacing w:before="120" w:after="120"/>
        <w:ind w:left="851" w:right="899"/>
        <w:jc w:val="both"/>
        <w:rPr>
          <w:rFonts w:ascii="Palatino Linotype" w:hAnsi="Palatino Linotype" w:cs="Arial"/>
          <w:i/>
          <w:sz w:val="22"/>
          <w:szCs w:val="22"/>
        </w:rPr>
      </w:pPr>
      <w:r w:rsidRPr="00BF3B15">
        <w:rPr>
          <w:rFonts w:ascii="Palatino Linotype" w:hAnsi="Palatino Linotype" w:cs="Arial"/>
          <w:b/>
          <w:i/>
          <w:sz w:val="22"/>
          <w:szCs w:val="22"/>
        </w:rPr>
        <w:t>XXXVIII.</w:t>
      </w:r>
      <w:r w:rsidRPr="00BF3B15">
        <w:rPr>
          <w:rFonts w:ascii="Palatino Linotype" w:hAnsi="Palatino Linotype" w:cs="Arial"/>
          <w:i/>
          <w:sz w:val="22"/>
          <w:szCs w:val="22"/>
        </w:rPr>
        <w:t xml:space="preserve"> El inventario de bienes muebles e inmuebles en posesión y propiedad;” </w:t>
      </w:r>
    </w:p>
    <w:p w:rsidR="00FD40F1" w:rsidRPr="00BF3B15" w:rsidRDefault="00FD40F1" w:rsidP="00FD40F1">
      <w:pPr>
        <w:autoSpaceDE w:val="0"/>
        <w:autoSpaceDN w:val="0"/>
        <w:adjustRightInd w:val="0"/>
        <w:spacing w:before="120" w:after="120"/>
        <w:ind w:left="851" w:right="899"/>
        <w:jc w:val="both"/>
        <w:rPr>
          <w:rFonts w:ascii="Palatino Linotype" w:hAnsi="Palatino Linotype" w:cs="Arial"/>
          <w:sz w:val="22"/>
          <w:szCs w:val="22"/>
        </w:rPr>
      </w:pPr>
      <w:r w:rsidRPr="00BF3B15">
        <w:rPr>
          <w:rFonts w:ascii="Palatino Linotype" w:hAnsi="Palatino Linotype" w:cs="Arial"/>
          <w:sz w:val="22"/>
          <w:szCs w:val="22"/>
        </w:rPr>
        <w:t>(Énfasis añadido)</w:t>
      </w:r>
    </w:p>
    <w:p w:rsidR="00ED1E5C" w:rsidRPr="00BF3B15" w:rsidRDefault="00FD40F1" w:rsidP="00FD40F1">
      <w:pPr>
        <w:spacing w:before="100" w:beforeAutospacing="1" w:after="100" w:afterAutospacing="1" w:line="360" w:lineRule="auto"/>
        <w:jc w:val="both"/>
        <w:rPr>
          <w:rFonts w:ascii="Palatino Linotype" w:hAnsi="Palatino Linotype"/>
          <w:color w:val="000000"/>
        </w:rPr>
      </w:pPr>
      <w:r w:rsidRPr="00BF3B15">
        <w:rPr>
          <w:rFonts w:ascii="Palatino Linotype" w:hAnsi="Palatino Linotype"/>
          <w:color w:val="000000"/>
        </w:rPr>
        <w:t xml:space="preserve">En este sentido, es dable ordenar al </w:t>
      </w:r>
      <w:r w:rsidRPr="00BF3B15">
        <w:rPr>
          <w:rFonts w:ascii="Palatino Linotype" w:hAnsi="Palatino Linotype"/>
          <w:b/>
          <w:color w:val="000000"/>
        </w:rPr>
        <w:t>SUJETO OBLIGADO</w:t>
      </w:r>
      <w:r w:rsidRPr="00BF3B15">
        <w:rPr>
          <w:rFonts w:ascii="Palatino Linotype" w:hAnsi="Palatino Linotype"/>
          <w:color w:val="000000"/>
        </w:rPr>
        <w:t xml:space="preserve"> haga entrega de</w:t>
      </w:r>
      <w:r w:rsidR="00ED1E5C" w:rsidRPr="00BF3B15">
        <w:rPr>
          <w:rFonts w:ascii="Palatino Linotype" w:hAnsi="Palatino Linotype"/>
          <w:color w:val="000000"/>
        </w:rPr>
        <w:t xml:space="preserve"> los</w:t>
      </w:r>
      <w:r w:rsidRPr="00BF3B15">
        <w:rPr>
          <w:rFonts w:ascii="Palatino Linotype" w:hAnsi="Palatino Linotype"/>
          <w:color w:val="000000"/>
        </w:rPr>
        <w:t xml:space="preserve"> </w:t>
      </w:r>
      <w:r w:rsidR="00ED1E5C" w:rsidRPr="00BF3B15">
        <w:rPr>
          <w:rFonts w:ascii="Palatino Linotype" w:hAnsi="Palatino Linotype"/>
          <w:color w:val="000000"/>
        </w:rPr>
        <w:t>últimos ge</w:t>
      </w:r>
      <w:r w:rsidR="00EA713C" w:rsidRPr="00BF3B15">
        <w:rPr>
          <w:rFonts w:ascii="Palatino Linotype" w:hAnsi="Palatino Linotype"/>
          <w:color w:val="000000"/>
        </w:rPr>
        <w:t xml:space="preserve">nerados al mes de junio de 2018, es decir, el </w:t>
      </w:r>
      <w:r w:rsidRPr="00BF3B15">
        <w:rPr>
          <w:rFonts w:ascii="Palatino Linotype" w:hAnsi="Palatino Linotype"/>
          <w:color w:val="000000"/>
        </w:rPr>
        <w:t>Inventario General de Bienes Muebles</w:t>
      </w:r>
      <w:r w:rsidR="00ED1E5C" w:rsidRPr="00BF3B15">
        <w:rPr>
          <w:rFonts w:ascii="Palatino Linotype" w:hAnsi="Palatino Linotype"/>
          <w:color w:val="000000"/>
        </w:rPr>
        <w:t xml:space="preserve"> e Inv</w:t>
      </w:r>
      <w:r w:rsidRPr="00BF3B15">
        <w:rPr>
          <w:rFonts w:ascii="Palatino Linotype" w:hAnsi="Palatino Linotype"/>
          <w:color w:val="000000"/>
        </w:rPr>
        <w:t xml:space="preserve">entario General de Bienes Muebles de Bajo Costo, </w:t>
      </w:r>
      <w:r w:rsidR="00ED1E5C" w:rsidRPr="00BF3B15">
        <w:rPr>
          <w:rFonts w:ascii="Palatino Linotype" w:hAnsi="Palatino Linotype"/>
          <w:color w:val="000000"/>
        </w:rPr>
        <w:t xml:space="preserve">en razón de que fue el último que </w:t>
      </w:r>
      <w:r w:rsidR="00ED1E5C" w:rsidRPr="00BF3B15">
        <w:rPr>
          <w:rFonts w:ascii="Palatino Linotype" w:hAnsi="Palatino Linotype"/>
          <w:color w:val="000000"/>
        </w:rPr>
        <w:lastRenderedPageBreak/>
        <w:t xml:space="preserve">presentó al </w:t>
      </w:r>
      <w:r w:rsidR="006E66D6" w:rsidRPr="00BF3B15">
        <w:rPr>
          <w:rFonts w:ascii="Palatino Linotype" w:hAnsi="Palatino Linotype"/>
          <w:color w:val="000000"/>
        </w:rPr>
        <w:t>OSFEM</w:t>
      </w:r>
      <w:r w:rsidR="00ED1E5C" w:rsidRPr="00BF3B15">
        <w:rPr>
          <w:rStyle w:val="Refdenotaalpie"/>
          <w:rFonts w:ascii="Palatino Linotype" w:hAnsi="Palatino Linotype"/>
          <w:color w:val="000000"/>
        </w:rPr>
        <w:footnoteReference w:id="9"/>
      </w:r>
      <w:r w:rsidR="00ED1E5C" w:rsidRPr="00BF3B15">
        <w:rPr>
          <w:rFonts w:ascii="Palatino Linotype" w:hAnsi="Palatino Linotype"/>
          <w:color w:val="000000"/>
        </w:rPr>
        <w:t xml:space="preserve">, ello es así, en razón de que en dichos inventarios se puede encontrar la información solicitada por la hoy </w:t>
      </w:r>
      <w:r w:rsidR="00ED1E5C" w:rsidRPr="00BF3B15">
        <w:rPr>
          <w:rFonts w:ascii="Palatino Linotype" w:hAnsi="Palatino Linotype"/>
          <w:b/>
          <w:color w:val="000000"/>
        </w:rPr>
        <w:t>RECURRENTE</w:t>
      </w:r>
      <w:r w:rsidR="00D9244E" w:rsidRPr="00BF3B15">
        <w:rPr>
          <w:rFonts w:ascii="Palatino Linotype" w:hAnsi="Palatino Linotype"/>
          <w:color w:val="000000"/>
        </w:rPr>
        <w:t>, consistente en el documento en donde consten los bienes muebles asignados a dicha Dirección al 26 de noviembre de 2018</w:t>
      </w:r>
      <w:r w:rsidR="00D9244E" w:rsidRPr="00BF3B15">
        <w:rPr>
          <w:rStyle w:val="Refdenotaalpie"/>
          <w:rFonts w:ascii="Palatino Linotype" w:hAnsi="Palatino Linotype"/>
          <w:color w:val="000000"/>
        </w:rPr>
        <w:footnoteReference w:id="10"/>
      </w:r>
      <w:r w:rsidR="00FA3B5E" w:rsidRPr="00BF3B15">
        <w:rPr>
          <w:rFonts w:ascii="Palatino Linotype" w:hAnsi="Palatino Linotype"/>
          <w:color w:val="000000"/>
        </w:rPr>
        <w:t xml:space="preserve">; no pasa desapercibido </w:t>
      </w:r>
      <w:r w:rsidR="00D9244E" w:rsidRPr="00BF3B15">
        <w:rPr>
          <w:rFonts w:ascii="Palatino Linotype" w:hAnsi="Palatino Linotype"/>
          <w:color w:val="000000"/>
        </w:rPr>
        <w:t xml:space="preserve">para esta Ponencia </w:t>
      </w:r>
      <w:r w:rsidR="00FA3B5E" w:rsidRPr="00BF3B15">
        <w:rPr>
          <w:rFonts w:ascii="Palatino Linotype" w:hAnsi="Palatino Linotype"/>
          <w:color w:val="000000"/>
        </w:rPr>
        <w:t>que estos deberán se</w:t>
      </w:r>
      <w:r w:rsidR="00D9244E" w:rsidRPr="00BF3B15">
        <w:rPr>
          <w:rFonts w:ascii="Palatino Linotype" w:hAnsi="Palatino Linotype"/>
          <w:color w:val="000000"/>
        </w:rPr>
        <w:t>r entregados en versión pública para lo cual, deberá tomarse en cuenta lo que a continuación se establece.</w:t>
      </w:r>
    </w:p>
    <w:p w:rsidR="006C781D" w:rsidRPr="00BF3B15" w:rsidRDefault="006C781D" w:rsidP="006C781D">
      <w:pPr>
        <w:spacing w:before="100" w:beforeAutospacing="1" w:after="100" w:afterAutospacing="1" w:line="360" w:lineRule="auto"/>
        <w:jc w:val="both"/>
        <w:rPr>
          <w:rFonts w:ascii="Palatino Linotype" w:eastAsia="Arial Unicode MS" w:hAnsi="Palatino Linotype" w:cs="Arial"/>
        </w:rPr>
      </w:pPr>
      <w:r w:rsidRPr="00BF3B15">
        <w:rPr>
          <w:rFonts w:ascii="Palatino Linotype" w:hAnsi="Palatino Linotype"/>
        </w:rPr>
        <w:t xml:space="preserve">Ahora </w:t>
      </w:r>
      <w:r w:rsidRPr="00BF3B15">
        <w:rPr>
          <w:rFonts w:ascii="Palatino Linotype" w:hAnsi="Palatino Linotype" w:cs="Arial"/>
          <w:noProof/>
          <w:lang w:eastAsia="es-MX"/>
        </w:rPr>
        <w:t>bien</w:t>
      </w:r>
      <w:r w:rsidRPr="00BF3B15">
        <w:rPr>
          <w:rFonts w:ascii="Palatino Linotype" w:hAnsi="Palatino Linotype"/>
        </w:rPr>
        <w:t xml:space="preserve">, </w:t>
      </w:r>
      <w:r w:rsidRPr="00BF3B15">
        <w:rPr>
          <w:rFonts w:ascii="Palatino Linotype" w:hAnsi="Palatino Linotype"/>
          <w:color w:val="000000"/>
        </w:rPr>
        <w:t xml:space="preserve">en términos del artículo 143 de la Ley de Transparencia y Acceso a la Información Pública del Estado de México y Municipios, deberá </w:t>
      </w:r>
      <w:r w:rsidRPr="00BF3B15">
        <w:rPr>
          <w:rFonts w:ascii="Palatino Linotype" w:eastAsia="Arial Unicode MS" w:hAnsi="Palatino Linotype" w:cs="Arial"/>
        </w:rPr>
        <w:t>omitirse, eliminarse o suprimirse la</w:t>
      </w:r>
      <w:r w:rsidRPr="00BF3B15">
        <w:rPr>
          <w:rFonts w:ascii="Palatino Linotype" w:hAnsi="Palatino Linotype"/>
          <w:color w:val="000000"/>
        </w:rPr>
        <w:t xml:space="preserve"> información </w:t>
      </w:r>
      <w:r w:rsidRPr="00BF3B15">
        <w:rPr>
          <w:rFonts w:ascii="Palatino Linotype" w:hAnsi="Palatino Linotype"/>
          <w:b/>
          <w:color w:val="000000"/>
        </w:rPr>
        <w:t>confidencial</w:t>
      </w:r>
      <w:r w:rsidR="00D9244E" w:rsidRPr="00BF3B15">
        <w:rPr>
          <w:rFonts w:ascii="Palatino Linotype" w:eastAsia="Arial Unicode MS" w:hAnsi="Palatino Linotype" w:cs="Arial"/>
        </w:rPr>
        <w:t xml:space="preserve">; por lo que, </w:t>
      </w:r>
      <w:r w:rsidRPr="00BF3B15">
        <w:rPr>
          <w:rFonts w:ascii="Palatino Linotype" w:hAnsi="Palatino Linotype" w:cs="Arial"/>
          <w:lang w:val="es-ES_tradnl"/>
        </w:rPr>
        <w:t>sólo podrán ser testados los datos que actualicen las hipótesis normativas previstas en dicho precepto legal, y deberá procederse a su clasificación mediante las formalidades de Ley, es decir,</w:t>
      </w:r>
      <w:r w:rsidRPr="00BF3B15">
        <w:rPr>
          <w:rFonts w:ascii="Palatino Linotype" w:hAnsi="Palatino Linotype" w:cs="Arial"/>
        </w:rPr>
        <w:t xml:space="preserve"> que el Comité de Transparencia del </w:t>
      </w:r>
      <w:r w:rsidRPr="00BF3B15">
        <w:rPr>
          <w:rFonts w:ascii="Palatino Linotype" w:hAnsi="Palatino Linotype" w:cs="Arial"/>
          <w:b/>
        </w:rPr>
        <w:t>SUJETO OBLIGADO</w:t>
      </w:r>
      <w:r w:rsidRPr="00BF3B15">
        <w:rPr>
          <w:rFonts w:ascii="Palatino Linotype" w:hAnsi="Palatino Linotype" w:cs="Arial"/>
        </w:rPr>
        <w:t xml:space="preserve"> emita el Acuerdo de Clasificación correspondiente</w:t>
      </w:r>
      <w:r w:rsidRPr="00BF3B15">
        <w:rPr>
          <w:rFonts w:ascii="Palatino Linotype" w:hAnsi="Palatino Linotype" w:cs="Arial"/>
          <w:lang w:val="es-ES_tradnl"/>
        </w:rPr>
        <w:t xml:space="preserve"> debidamente fundado y motivado, en el cual se</w:t>
      </w:r>
      <w:r w:rsidRPr="00BF3B15">
        <w:rPr>
          <w:rFonts w:ascii="Palatino Linotype" w:hAnsi="Palatino Linotype" w:cs="Arial"/>
        </w:rPr>
        <w:t xml:space="preserv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w:t>
      </w:r>
      <w:r w:rsidR="006E66D6" w:rsidRPr="00BF3B15">
        <w:rPr>
          <w:rFonts w:ascii="Palatino Linotype" w:hAnsi="Palatino Linotype" w:cs="Arial"/>
        </w:rPr>
        <w:t>,</w:t>
      </w:r>
      <w:r w:rsidRPr="00BF3B15">
        <w:rPr>
          <w:rFonts w:ascii="Palatino Linotype" w:hAnsi="Palatino Linotype" w:cs="Arial"/>
        </w:rPr>
        <w:t xml:space="preserve"> en fecha 15 de abril de 2016, mediante Acuerdo del Consejo Nacional del Sistema Nacional de Transparencia, Acceso a la Información Pública y Protección de Datos Personales.</w:t>
      </w:r>
    </w:p>
    <w:p w:rsidR="006C781D" w:rsidRPr="00BF3B15" w:rsidRDefault="00D9244E" w:rsidP="006C781D">
      <w:pPr>
        <w:spacing w:before="100" w:beforeAutospacing="1" w:after="100" w:afterAutospacing="1" w:line="360" w:lineRule="auto"/>
        <w:jc w:val="both"/>
        <w:rPr>
          <w:rFonts w:ascii="Palatino Linotype" w:eastAsia="Arial Unicode MS" w:hAnsi="Palatino Linotype" w:cs="Arial"/>
        </w:rPr>
      </w:pPr>
      <w:r w:rsidRPr="00BF3B15">
        <w:rPr>
          <w:rFonts w:ascii="Palatino Linotype" w:hAnsi="Palatino Linotype" w:cs="Arial"/>
          <w:lang w:eastAsia="es-MX"/>
        </w:rPr>
        <w:lastRenderedPageBreak/>
        <w:t>De ahí que,</w:t>
      </w:r>
      <w:r w:rsidR="006C781D" w:rsidRPr="00BF3B15">
        <w:rPr>
          <w:rFonts w:ascii="Palatino Linotype" w:hAnsi="Palatino Linotype" w:cs="Arial"/>
          <w:lang w:eastAsia="es-MX"/>
        </w:rPr>
        <w:t xml:space="preserve"> </w:t>
      </w:r>
      <w:r w:rsidRPr="00BF3B15">
        <w:rPr>
          <w:rFonts w:ascii="Palatino Linotype" w:hAnsi="Palatino Linotype" w:cs="Arial"/>
          <w:lang w:eastAsia="es-MX"/>
        </w:rPr>
        <w:t xml:space="preserve">en </w:t>
      </w:r>
      <w:r w:rsidR="006C781D" w:rsidRPr="00BF3B15">
        <w:rPr>
          <w:rFonts w:ascii="Palatino Linotype" w:eastAsia="Arial Unicode MS" w:hAnsi="Palatino Linotype" w:cs="Arial"/>
        </w:rPr>
        <w:t xml:space="preserve">los </w:t>
      </w:r>
      <w:r w:rsidR="006C781D" w:rsidRPr="00BF3B15">
        <w:rPr>
          <w:rFonts w:ascii="Palatino Linotype" w:hAnsi="Palatino Linotype" w:cs="Arial"/>
        </w:rPr>
        <w:t>documentos</w:t>
      </w:r>
      <w:r w:rsidR="006C781D" w:rsidRPr="00BF3B15">
        <w:rPr>
          <w:rFonts w:ascii="Palatino Linotype" w:eastAsia="Arial Unicode MS" w:hAnsi="Palatino Linotype" w:cs="Arial"/>
        </w:rPr>
        <w:t xml:space="preserve"> que </w:t>
      </w:r>
      <w:r w:rsidR="006C781D" w:rsidRPr="00BF3B15">
        <w:rPr>
          <w:rFonts w:ascii="Palatino Linotype" w:eastAsia="Arial Unicode MS" w:hAnsi="Palatino Linotype" w:cs="Arial"/>
          <w:b/>
        </w:rPr>
        <w:t xml:space="preserve">EL SUJETO OBLIGADO </w:t>
      </w:r>
      <w:r w:rsidR="006C781D" w:rsidRPr="00BF3B15">
        <w:rPr>
          <w:rFonts w:ascii="Palatino Linotype" w:eastAsia="Arial Unicode MS" w:hAnsi="Palatino Linotype" w:cs="Arial"/>
        </w:rPr>
        <w:t xml:space="preserve">ha de entregar en </w:t>
      </w:r>
      <w:r w:rsidR="006C781D" w:rsidRPr="00BF3B15">
        <w:rPr>
          <w:rFonts w:ascii="Palatino Linotype" w:eastAsia="Arial Unicode MS" w:hAnsi="Palatino Linotype" w:cs="Arial"/>
          <w:b/>
        </w:rPr>
        <w:t>versión pública</w:t>
      </w:r>
      <w:r w:rsidR="006C781D" w:rsidRPr="00BF3B15">
        <w:rPr>
          <w:rFonts w:ascii="Palatino Linotype" w:eastAsia="Arial Unicode MS" w:hAnsi="Palatino Linotype" w:cs="Arial"/>
        </w:rPr>
        <w:t>, se deberá omitir, eliminar o suprimir la información personal de los servidores públicos, como Reg</w:t>
      </w:r>
      <w:r w:rsidR="006E66D6" w:rsidRPr="00BF3B15">
        <w:rPr>
          <w:rFonts w:ascii="Palatino Linotype" w:eastAsia="Arial Unicode MS" w:hAnsi="Palatino Linotype" w:cs="Arial"/>
        </w:rPr>
        <w:t>istro Federal de Contribuyentes (RFC),</w:t>
      </w:r>
      <w:r w:rsidR="006C781D" w:rsidRPr="00BF3B15">
        <w:rPr>
          <w:rFonts w:ascii="Palatino Linotype" w:eastAsia="Arial Unicode MS" w:hAnsi="Palatino Linotype" w:cs="Arial"/>
        </w:rPr>
        <w:t xml:space="preserve"> C</w:t>
      </w:r>
      <w:r w:rsidR="006E66D6" w:rsidRPr="00BF3B15">
        <w:rPr>
          <w:rFonts w:ascii="Palatino Linotype" w:eastAsia="Arial Unicode MS" w:hAnsi="Palatino Linotype" w:cs="Arial"/>
        </w:rPr>
        <w:t xml:space="preserve">lave Única de </w:t>
      </w:r>
      <w:r w:rsidR="006C781D" w:rsidRPr="00BF3B15">
        <w:rPr>
          <w:rFonts w:ascii="Palatino Linotype" w:eastAsia="Arial Unicode MS" w:hAnsi="Palatino Linotype" w:cs="Arial"/>
        </w:rPr>
        <w:t>R</w:t>
      </w:r>
      <w:r w:rsidR="006E66D6" w:rsidRPr="00BF3B15">
        <w:rPr>
          <w:rFonts w:ascii="Palatino Linotype" w:eastAsia="Arial Unicode MS" w:hAnsi="Palatino Linotype" w:cs="Arial"/>
        </w:rPr>
        <w:t xml:space="preserve">egistro de </w:t>
      </w:r>
      <w:r w:rsidR="006C781D" w:rsidRPr="00BF3B15">
        <w:rPr>
          <w:rFonts w:ascii="Palatino Linotype" w:eastAsia="Arial Unicode MS" w:hAnsi="Palatino Linotype" w:cs="Arial"/>
        </w:rPr>
        <w:t>P</w:t>
      </w:r>
      <w:r w:rsidR="006E66D6" w:rsidRPr="00BF3B15">
        <w:rPr>
          <w:rFonts w:ascii="Palatino Linotype" w:eastAsia="Arial Unicode MS" w:hAnsi="Palatino Linotype" w:cs="Arial"/>
        </w:rPr>
        <w:t>oblación (CURP)</w:t>
      </w:r>
      <w:r w:rsidR="006C781D" w:rsidRPr="00BF3B15">
        <w:rPr>
          <w:rFonts w:ascii="Palatino Linotype" w:eastAsia="Arial Unicode MS" w:hAnsi="Palatino Linotype" w:cs="Arial"/>
        </w:rPr>
        <w:t xml:space="preserve">, clave del Instituto de Seguridad Social </w:t>
      </w:r>
      <w:r w:rsidR="006C781D" w:rsidRPr="00BF3B15">
        <w:rPr>
          <w:rFonts w:ascii="Palatino Linotype" w:hAnsi="Palatino Linotype" w:cs="Arial"/>
        </w:rPr>
        <w:t>del</w:t>
      </w:r>
      <w:r w:rsidR="006C781D" w:rsidRPr="00BF3B15">
        <w:rPr>
          <w:rFonts w:ascii="Palatino Linotype" w:eastAsia="Arial Unicode MS" w:hAnsi="Palatino Linotype" w:cs="Arial"/>
        </w:rPr>
        <w:t xml:space="preserve"> Estado de México y Municipios, </w:t>
      </w:r>
      <w:r w:rsidR="006C781D" w:rsidRPr="00BF3B15">
        <w:rPr>
          <w:rFonts w:ascii="Palatino Linotype" w:eastAsia="Arial Unicode MS" w:hAnsi="Palatino Linotype" w:cs="Arial"/>
          <w:b/>
        </w:rPr>
        <w:t xml:space="preserve">los descuentos que se realicen por pensión alimenticia o deducciones estrictamente personales o de cualquier índole siempre que, </w:t>
      </w:r>
      <w:r w:rsidR="006C781D" w:rsidRPr="00BF3B15">
        <w:rPr>
          <w:rFonts w:ascii="Palatino Linotype" w:hAnsi="Palatino Linotype" w:cs="Arial"/>
          <w:b/>
        </w:rPr>
        <w:t>no se encuentren relacionados con los impuestos o las cuotas por seguridad social</w:t>
      </w:r>
      <w:r w:rsidR="006C781D" w:rsidRPr="00BF3B15">
        <w:rPr>
          <w:rFonts w:ascii="Palatino Linotype" w:eastAsia="Arial Unicode MS" w:hAnsi="Palatino Linotype" w:cs="Arial"/>
        </w:rPr>
        <w:t xml:space="preserve">, número de cuenta o cualquier otro dato que ponga en riesgo la vida, seguridad y salud de dichas </w:t>
      </w:r>
      <w:r w:rsidR="006C781D" w:rsidRPr="00BF3B15">
        <w:rPr>
          <w:rFonts w:ascii="Palatino Linotype" w:hAnsi="Palatino Linotype" w:cs="Arial"/>
        </w:rPr>
        <w:t>personas</w:t>
      </w:r>
      <w:r w:rsidR="006C781D" w:rsidRPr="00BF3B15">
        <w:rPr>
          <w:rFonts w:ascii="Palatino Linotype" w:eastAsia="Arial Unicode MS" w:hAnsi="Palatino Linotype" w:cs="Arial"/>
        </w:rPr>
        <w:t>.</w:t>
      </w:r>
    </w:p>
    <w:p w:rsidR="006C781D" w:rsidRPr="00BF3B15" w:rsidRDefault="006C781D" w:rsidP="006C781D">
      <w:pPr>
        <w:spacing w:before="100" w:beforeAutospacing="1" w:after="100" w:afterAutospacing="1" w:line="360" w:lineRule="auto"/>
        <w:jc w:val="both"/>
        <w:rPr>
          <w:rFonts w:ascii="Palatino Linotype" w:hAnsi="Palatino Linotype" w:cs="Arial"/>
          <w:lang w:eastAsia="en-US"/>
        </w:rPr>
      </w:pPr>
      <w:r w:rsidRPr="00BF3B15">
        <w:rPr>
          <w:rFonts w:ascii="Palatino Linotype" w:hAnsi="Palatino Linotype"/>
        </w:rPr>
        <w:t xml:space="preserve">En el caso específico de la nómina solicitada, obran datos que son considerados </w:t>
      </w:r>
      <w:r w:rsidRPr="00BF3B15">
        <w:rPr>
          <w:rFonts w:ascii="Palatino Linotype" w:hAnsi="Palatino Linotype" w:cs="Arial"/>
        </w:rPr>
        <w:t>confidenciales</w:t>
      </w:r>
      <w:r w:rsidRPr="00BF3B15">
        <w:rPr>
          <w:rFonts w:ascii="Palatino Linotype" w:hAnsi="Palatino Linotype"/>
        </w:rPr>
        <w:t xml:space="preserve">, cuyo acceso </w:t>
      </w:r>
      <w:r w:rsidRPr="00BF3B15">
        <w:rPr>
          <w:rFonts w:ascii="Palatino Linotype" w:hAnsi="Palatino Linotype" w:cs="Arial"/>
        </w:rPr>
        <w:t>debe</w:t>
      </w:r>
      <w:r w:rsidRPr="00BF3B15">
        <w:rPr>
          <w:rFonts w:ascii="Palatino Linotype" w:hAnsi="Palatino Linotype"/>
        </w:rPr>
        <w:t xml:space="preserve"> ser restringido, los cuales </w:t>
      </w:r>
      <w:r w:rsidRPr="00BF3B15">
        <w:rPr>
          <w:rFonts w:ascii="Palatino Linotype" w:hAnsi="Palatino Linotype" w:cs="Arial"/>
        </w:rPr>
        <w:t xml:space="preserve">deben testarse al momento de la elaboración de versiones públicas, como es el caso del RFC, la </w:t>
      </w:r>
      <w:r w:rsidR="006E66D6" w:rsidRPr="00BF3B15">
        <w:rPr>
          <w:rFonts w:ascii="Palatino Linotype" w:hAnsi="Palatino Linotype" w:cs="Arial"/>
        </w:rPr>
        <w:t>CURP</w:t>
      </w:r>
      <w:r w:rsidRPr="00BF3B15">
        <w:rPr>
          <w:rFonts w:ascii="Palatino Linotype" w:hAnsi="Palatino Linotype" w:cs="Arial"/>
        </w:rPr>
        <w:t xml:space="preserve">, la </w:t>
      </w:r>
      <w:r w:rsidRPr="00BF3B15">
        <w:rPr>
          <w:rFonts w:ascii="Palatino Linotype" w:hAnsi="Palatino Linotype" w:cs="Arial"/>
          <w:b/>
        </w:rPr>
        <w:t>Clave de cualquier tipo de seguridad social</w:t>
      </w:r>
      <w:r w:rsidR="006E66D6" w:rsidRPr="00BF3B15">
        <w:rPr>
          <w:rFonts w:ascii="Palatino Linotype" w:hAnsi="Palatino Linotype" w:cs="Arial"/>
        </w:rPr>
        <w:t xml:space="preserve"> (ISSEMYM, u otros);</w:t>
      </w:r>
      <w:r w:rsidRPr="00BF3B15">
        <w:rPr>
          <w:rFonts w:ascii="Palatino Linotype" w:hAnsi="Palatino Linotype" w:cs="Arial"/>
        </w:rPr>
        <w:t xml:space="preserve"> así como, los </w:t>
      </w:r>
      <w:r w:rsidRPr="00BF3B15">
        <w:rPr>
          <w:rFonts w:ascii="Palatino Linotype" w:hAnsi="Palatino Linotype" w:cs="Arial"/>
          <w:b/>
        </w:rPr>
        <w:t xml:space="preserve">préstamos o descuentos </w:t>
      </w:r>
      <w:r w:rsidRPr="00BF3B15">
        <w:rPr>
          <w:rFonts w:ascii="Palatino Linotype" w:hAnsi="Palatino Linotype" w:cs="Arial"/>
        </w:rPr>
        <w:t>que se le hagan al servidor público.</w:t>
      </w:r>
    </w:p>
    <w:p w:rsidR="006C781D" w:rsidRPr="00BF3B15" w:rsidRDefault="006C781D" w:rsidP="006C781D">
      <w:pPr>
        <w:spacing w:before="100" w:beforeAutospacing="1" w:after="100" w:afterAutospacing="1" w:line="360" w:lineRule="auto"/>
        <w:jc w:val="both"/>
        <w:rPr>
          <w:rFonts w:ascii="Palatino Linotype" w:hAnsi="Palatino Linotype"/>
        </w:rPr>
      </w:pPr>
      <w:r w:rsidRPr="00BF3B15">
        <w:rPr>
          <w:rFonts w:ascii="Palatino Linotype" w:hAnsi="Palatino Linotype" w:cs="Arial"/>
          <w:lang w:eastAsia="es-MX"/>
        </w:rPr>
        <w:t xml:space="preserve">Por cuanto hace al </w:t>
      </w:r>
      <w:r w:rsidRPr="00BF3B15">
        <w:rPr>
          <w:rFonts w:ascii="Palatino Linotype" w:hAnsi="Palatino Linotype" w:cs="Arial"/>
          <w:b/>
          <w:lang w:eastAsia="es-MX"/>
        </w:rPr>
        <w:t>R</w:t>
      </w:r>
      <w:r w:rsidR="006E66D6" w:rsidRPr="00BF3B15">
        <w:rPr>
          <w:rFonts w:ascii="Palatino Linotype" w:hAnsi="Palatino Linotype" w:cs="Arial"/>
          <w:b/>
          <w:lang w:eastAsia="es-MX"/>
        </w:rPr>
        <w:t>FC</w:t>
      </w:r>
      <w:r w:rsidRPr="00BF3B15">
        <w:rPr>
          <w:rFonts w:ascii="Palatino Linotype" w:hAnsi="Palatino Linotype" w:cs="Arial"/>
          <w:lang w:eastAsia="es-MX"/>
        </w:rPr>
        <w:t xml:space="preserve"> </w:t>
      </w:r>
      <w:r w:rsidRPr="00BF3B15">
        <w:rPr>
          <w:rFonts w:ascii="Palatino Linotype" w:hAnsi="Palatino Linotype" w:cs="Arial"/>
          <w:b/>
          <w:lang w:eastAsia="es-MX"/>
        </w:rPr>
        <w:t>de las personas físicas</w:t>
      </w:r>
      <w:r w:rsidRPr="00BF3B15">
        <w:rPr>
          <w:rFonts w:ascii="Palatino Linotype" w:hAnsi="Palatino Linotype" w:cs="Arial"/>
          <w:lang w:eastAsia="es-MX"/>
        </w:rPr>
        <w:t xml:space="preserve">, constituye un dato personal, ya que se genera con caracteres alfanuméricos obtenidos a partir del nombre en mayúsculas sin acentos ni diéresis y la fecha de nacimiento de cada persona; es decir la primera letra </w:t>
      </w:r>
      <w:r w:rsidRPr="00BF3B15">
        <w:rPr>
          <w:rFonts w:ascii="Palatino Linotype" w:hAnsi="Palatino Linotype" w:cs="Arial"/>
        </w:rPr>
        <w:t>del</w:t>
      </w:r>
      <w:r w:rsidRPr="00BF3B15">
        <w:rPr>
          <w:rFonts w:ascii="Palatino Linotype" w:hAnsi="Palatino Linotype" w:cs="Arial"/>
          <w:lang w:eastAsia="es-MX"/>
        </w:rPr>
        <w:t xml:space="preserve"> apellido paterno; seguida de la primera letra Vocal del primer apellido; seguida de la primera letra del segundo apellido y por último la primera letra del nombre, posterior la fecha de nacimiento año/mes/día</w:t>
      </w:r>
      <w:r w:rsidRPr="00BF3B15">
        <w:rPr>
          <w:rFonts w:ascii="Palatino Linotype" w:hAnsi="Palatino Linotype"/>
        </w:rPr>
        <w:t xml:space="preserve"> y finalmente la </w:t>
      </w:r>
      <w:proofErr w:type="spellStart"/>
      <w:r w:rsidRPr="00BF3B15">
        <w:rPr>
          <w:rFonts w:ascii="Palatino Linotype" w:hAnsi="Palatino Linotype"/>
        </w:rPr>
        <w:t>homoclave</w:t>
      </w:r>
      <w:proofErr w:type="spellEnd"/>
      <w:r w:rsidRPr="00BF3B15">
        <w:rPr>
          <w:rFonts w:ascii="Palatino Linotype" w:hAnsi="Palatino Linotype"/>
        </w:rPr>
        <w:t>; la cual, para su obtención es necesario acreditar personalidad, fecha de nacimiento entre otros con documentos oficiales.</w:t>
      </w:r>
    </w:p>
    <w:p w:rsidR="006C781D" w:rsidRPr="00BF3B15" w:rsidRDefault="006C781D" w:rsidP="006C781D">
      <w:pPr>
        <w:spacing w:before="100" w:beforeAutospacing="1" w:after="100" w:afterAutospacing="1" w:line="360" w:lineRule="auto"/>
        <w:jc w:val="both"/>
        <w:rPr>
          <w:rFonts w:ascii="Palatino Linotype" w:hAnsi="Palatino Linotype"/>
          <w:b/>
          <w:bCs/>
          <w:color w:val="000000"/>
        </w:rPr>
      </w:pPr>
      <w:r w:rsidRPr="00BF3B15">
        <w:rPr>
          <w:rFonts w:ascii="Palatino Linotype" w:hAnsi="Palatino Linotype" w:cs="Arial"/>
          <w:lang w:eastAsia="es-MX"/>
        </w:rPr>
        <w:lastRenderedPageBreak/>
        <w:t xml:space="preserve">Al respecto, </w:t>
      </w:r>
      <w:r w:rsidRPr="00BF3B15">
        <w:rPr>
          <w:rFonts w:ascii="Palatino Linotype" w:hAnsi="Palatino Linotype" w:cs="Arial"/>
          <w:color w:val="000000"/>
        </w:rPr>
        <w:t xml:space="preserve">es aplicable el Criterio 19/17 de la Segunda Época, emitido por </w:t>
      </w:r>
      <w:r w:rsidRPr="00BF3B15">
        <w:rPr>
          <w:rFonts w:ascii="Palatino Linotype" w:eastAsia="Arial Unicode MS" w:hAnsi="Palatino Linotype" w:cs="Arial"/>
          <w:color w:val="000000"/>
        </w:rPr>
        <w:t xml:space="preserve">el Instituto Nacional de </w:t>
      </w:r>
      <w:r w:rsidRPr="00BF3B15">
        <w:rPr>
          <w:rFonts w:ascii="Palatino Linotype" w:hAnsi="Palatino Linotype"/>
          <w:bCs/>
        </w:rPr>
        <w:t>Transparencia</w:t>
      </w:r>
      <w:r w:rsidRPr="00BF3B15">
        <w:rPr>
          <w:rFonts w:ascii="Palatino Linotype" w:eastAsia="Arial Unicode MS" w:hAnsi="Palatino Linotype" w:cs="Arial"/>
          <w:color w:val="000000"/>
        </w:rPr>
        <w:t xml:space="preserve">, Acceso a la </w:t>
      </w:r>
      <w:r w:rsidRPr="00BF3B15">
        <w:rPr>
          <w:rFonts w:ascii="Palatino Linotype" w:hAnsi="Palatino Linotype" w:cs="Arial"/>
        </w:rPr>
        <w:t>Información</w:t>
      </w:r>
      <w:r w:rsidRPr="00BF3B15">
        <w:rPr>
          <w:rFonts w:ascii="Palatino Linotype" w:eastAsia="Arial Unicode MS" w:hAnsi="Palatino Linotype" w:cs="Arial"/>
          <w:color w:val="000000"/>
        </w:rPr>
        <w:t xml:space="preserve"> y Protección de Datos Personales,</w:t>
      </w:r>
      <w:r w:rsidRPr="00BF3B15">
        <w:rPr>
          <w:rFonts w:ascii="Palatino Linotype" w:hAnsi="Palatino Linotype"/>
          <w:bCs/>
          <w:color w:val="000000"/>
        </w:rPr>
        <w:t xml:space="preserve"> que dice:</w:t>
      </w:r>
      <w:r w:rsidRPr="00BF3B15">
        <w:rPr>
          <w:rFonts w:ascii="Palatino Linotype" w:hAnsi="Palatino Linotype"/>
          <w:b/>
          <w:bCs/>
          <w:color w:val="000000"/>
        </w:rPr>
        <w:t xml:space="preserve"> </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lang w:eastAsia="en-US"/>
        </w:rPr>
      </w:pPr>
      <w:r w:rsidRPr="00BF3B15">
        <w:rPr>
          <w:rFonts w:ascii="Palatino Linotype" w:hAnsi="Palatino Linotype" w:cs="Arial"/>
          <w:bCs/>
          <w:i/>
          <w:sz w:val="22"/>
          <w:szCs w:val="22"/>
        </w:rPr>
        <w:t>“</w:t>
      </w:r>
      <w:r w:rsidRPr="00BF3B15">
        <w:rPr>
          <w:rFonts w:ascii="Palatino Linotype" w:hAnsi="Palatino Linotype" w:cs="Arial"/>
          <w:b/>
          <w:bCs/>
          <w:i/>
          <w:sz w:val="22"/>
          <w:szCs w:val="22"/>
        </w:rPr>
        <w:t>Registro Federal de Contribuyentes (RFC) de personas físicas. El RFC es una clave</w:t>
      </w:r>
      <w:r w:rsidRPr="00BF3B15">
        <w:rPr>
          <w:rFonts w:ascii="Palatino Linotype" w:hAnsi="Palatino Linotype" w:cs="Arial"/>
          <w:bCs/>
          <w:i/>
          <w:sz w:val="22"/>
          <w:szCs w:val="22"/>
        </w:rPr>
        <w:t xml:space="preserve"> de carácter fiscal, </w:t>
      </w:r>
      <w:proofErr w:type="gramStart"/>
      <w:r w:rsidRPr="00BF3B15">
        <w:rPr>
          <w:rFonts w:ascii="Palatino Linotype" w:hAnsi="Palatino Linotype" w:cs="Arial"/>
          <w:bCs/>
          <w:i/>
          <w:sz w:val="22"/>
          <w:szCs w:val="22"/>
        </w:rPr>
        <w:t>única</w:t>
      </w:r>
      <w:proofErr w:type="gramEnd"/>
      <w:r w:rsidRPr="00BF3B15">
        <w:rPr>
          <w:rFonts w:ascii="Palatino Linotype" w:hAnsi="Palatino Linotype" w:cs="Arial"/>
          <w:bCs/>
          <w:i/>
          <w:sz w:val="22"/>
          <w:szCs w:val="22"/>
        </w:rPr>
        <w:t xml:space="preserve"> e irrepetible, </w:t>
      </w:r>
      <w:r w:rsidRPr="00BF3B15">
        <w:rPr>
          <w:rFonts w:ascii="Palatino Linotype" w:hAnsi="Palatino Linotype" w:cs="Arial"/>
          <w:b/>
          <w:bCs/>
          <w:i/>
          <w:sz w:val="22"/>
          <w:szCs w:val="22"/>
        </w:rPr>
        <w:t>que permite identificar al titular, su edad y fecha de nacimiento</w:t>
      </w:r>
      <w:r w:rsidRPr="00BF3B15">
        <w:rPr>
          <w:rFonts w:ascii="Palatino Linotype" w:hAnsi="Palatino Linotype" w:cs="Arial"/>
          <w:bCs/>
          <w:i/>
          <w:sz w:val="22"/>
          <w:szCs w:val="22"/>
        </w:rPr>
        <w:t xml:space="preserve">, </w:t>
      </w:r>
      <w:r w:rsidRPr="00BF3B15">
        <w:rPr>
          <w:rFonts w:ascii="Palatino Linotype" w:hAnsi="Palatino Linotype" w:cs="Arial"/>
          <w:i/>
          <w:sz w:val="22"/>
          <w:szCs w:val="22"/>
          <w:lang w:eastAsia="es-MX"/>
        </w:rPr>
        <w:t>por</w:t>
      </w:r>
      <w:r w:rsidRPr="00BF3B15">
        <w:rPr>
          <w:rFonts w:ascii="Palatino Linotype" w:hAnsi="Palatino Linotype" w:cs="Arial"/>
          <w:bCs/>
          <w:i/>
          <w:sz w:val="22"/>
          <w:szCs w:val="22"/>
        </w:rPr>
        <w:t xml:space="preserve"> lo que </w:t>
      </w:r>
      <w:r w:rsidRPr="00BF3B15">
        <w:rPr>
          <w:rFonts w:ascii="Palatino Linotype" w:hAnsi="Palatino Linotype" w:cs="Arial"/>
          <w:b/>
          <w:bCs/>
          <w:i/>
          <w:sz w:val="22"/>
          <w:szCs w:val="22"/>
        </w:rPr>
        <w:t>es un dato personal de carácter confidencial</w:t>
      </w:r>
      <w:r w:rsidRPr="00BF3B15">
        <w:rPr>
          <w:rFonts w:ascii="Palatino Linotype" w:hAnsi="Palatino Linotype" w:cs="Arial"/>
          <w:i/>
          <w:sz w:val="22"/>
          <w:szCs w:val="22"/>
        </w:rPr>
        <w:t>.</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rPr>
      </w:pPr>
      <w:r w:rsidRPr="00BF3B15">
        <w:rPr>
          <w:rFonts w:ascii="Palatino Linotype" w:hAnsi="Palatino Linotype" w:cs="Arial"/>
          <w:bCs/>
          <w:i/>
          <w:sz w:val="22"/>
          <w:szCs w:val="22"/>
        </w:rPr>
        <w:t>Resoluciones:</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rPr>
      </w:pPr>
      <w:r w:rsidRPr="00BF3B15">
        <w:rPr>
          <w:rFonts w:ascii="Palatino Linotype" w:hAnsi="Palatino Linotype" w:cs="Arial"/>
          <w:bCs/>
          <w:i/>
          <w:sz w:val="22"/>
          <w:szCs w:val="22"/>
        </w:rPr>
        <w:t>• RRA 0189/</w:t>
      </w:r>
      <w:r w:rsidRPr="00BF3B15">
        <w:rPr>
          <w:rFonts w:ascii="Palatino Linotype" w:hAnsi="Palatino Linotype" w:cs="Arial"/>
          <w:i/>
          <w:sz w:val="22"/>
          <w:szCs w:val="22"/>
          <w:lang w:eastAsia="es-MX"/>
        </w:rPr>
        <w:t>17</w:t>
      </w:r>
      <w:r w:rsidRPr="00BF3B15">
        <w:rPr>
          <w:rFonts w:ascii="Palatino Linotype" w:hAnsi="Palatino Linotype" w:cs="Arial"/>
          <w:bCs/>
          <w:i/>
          <w:sz w:val="22"/>
          <w:szCs w:val="22"/>
        </w:rPr>
        <w:t>. Morena. 08 de febrero de 2017. Por unanimidad. Comisionado Ponente Joel Salas Suárez.</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rPr>
      </w:pPr>
      <w:r w:rsidRPr="00BF3B15">
        <w:rPr>
          <w:rFonts w:ascii="Palatino Linotype" w:hAnsi="Palatino Linotype" w:cs="Arial"/>
          <w:bCs/>
          <w:i/>
          <w:sz w:val="22"/>
          <w:szCs w:val="22"/>
        </w:rPr>
        <w:t xml:space="preserve">• RRA 0677/17. Universidad Nacional Autónoma de México. 08 de marzo de 2017. Por unanimidad. Comisionado Ponente </w:t>
      </w:r>
      <w:proofErr w:type="spellStart"/>
      <w:r w:rsidRPr="00BF3B15">
        <w:rPr>
          <w:rFonts w:ascii="Palatino Linotype" w:hAnsi="Palatino Linotype" w:cs="Arial"/>
          <w:bCs/>
          <w:i/>
          <w:sz w:val="22"/>
          <w:szCs w:val="22"/>
        </w:rPr>
        <w:t>Rosendoevgueni</w:t>
      </w:r>
      <w:proofErr w:type="spellEnd"/>
      <w:r w:rsidRPr="00BF3B15">
        <w:rPr>
          <w:rFonts w:ascii="Palatino Linotype" w:hAnsi="Palatino Linotype" w:cs="Arial"/>
          <w:bCs/>
          <w:i/>
          <w:sz w:val="22"/>
          <w:szCs w:val="22"/>
        </w:rPr>
        <w:t xml:space="preserve"> Monterrey </w:t>
      </w:r>
      <w:proofErr w:type="spellStart"/>
      <w:r w:rsidRPr="00BF3B15">
        <w:rPr>
          <w:rFonts w:ascii="Palatino Linotype" w:hAnsi="Palatino Linotype" w:cs="Arial"/>
          <w:bCs/>
          <w:i/>
          <w:sz w:val="22"/>
          <w:szCs w:val="22"/>
        </w:rPr>
        <w:t>Chepov</w:t>
      </w:r>
      <w:proofErr w:type="spellEnd"/>
      <w:r w:rsidRPr="00BF3B15">
        <w:rPr>
          <w:rFonts w:ascii="Palatino Linotype" w:hAnsi="Palatino Linotype" w:cs="Arial"/>
          <w:bCs/>
          <w:i/>
          <w:sz w:val="22"/>
          <w:szCs w:val="22"/>
        </w:rPr>
        <w:t xml:space="preserve">. </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rPr>
      </w:pPr>
      <w:r w:rsidRPr="00BF3B15">
        <w:rPr>
          <w:rFonts w:ascii="Palatino Linotype" w:hAnsi="Palatino Linotype" w:cs="Arial"/>
          <w:bCs/>
          <w:i/>
          <w:sz w:val="22"/>
          <w:szCs w:val="22"/>
        </w:rPr>
        <w:t xml:space="preserve">• RRA 1564/17. Tribunal Electoral del Poder Judicial de la Federación. 26 de abril de 2017. Por </w:t>
      </w:r>
      <w:r w:rsidRPr="00BF3B15">
        <w:rPr>
          <w:rFonts w:ascii="Palatino Linotype" w:hAnsi="Palatino Linotype" w:cs="Arial"/>
          <w:i/>
          <w:sz w:val="22"/>
          <w:szCs w:val="22"/>
          <w:lang w:eastAsia="es-MX"/>
        </w:rPr>
        <w:t>unanimidad</w:t>
      </w:r>
      <w:r w:rsidRPr="00BF3B15">
        <w:rPr>
          <w:rFonts w:ascii="Palatino Linotype" w:hAnsi="Palatino Linotype" w:cs="Arial"/>
          <w:bCs/>
          <w:i/>
          <w:sz w:val="22"/>
          <w:szCs w:val="22"/>
        </w:rPr>
        <w:t>. Comisionado Ponente Oscar Mauricio Guerra Ford.</w:t>
      </w:r>
      <w:r w:rsidRPr="00BF3B15">
        <w:rPr>
          <w:rFonts w:ascii="Palatino Linotype" w:hAnsi="Palatino Linotype" w:cs="Arial"/>
          <w:i/>
          <w:sz w:val="22"/>
          <w:szCs w:val="22"/>
        </w:rPr>
        <w:t>” (Sic)</w:t>
      </w:r>
    </w:p>
    <w:p w:rsidR="006C781D" w:rsidRPr="00BF3B15" w:rsidRDefault="006C781D" w:rsidP="006C781D">
      <w:pPr>
        <w:autoSpaceDE w:val="0"/>
        <w:autoSpaceDN w:val="0"/>
        <w:adjustRightInd w:val="0"/>
        <w:ind w:left="851" w:right="902"/>
        <w:jc w:val="both"/>
        <w:rPr>
          <w:rFonts w:ascii="Palatino Linotype" w:hAnsi="Palatino Linotype" w:cs="Arial"/>
          <w:sz w:val="22"/>
          <w:szCs w:val="22"/>
        </w:rPr>
      </w:pPr>
      <w:r w:rsidRPr="00BF3B15">
        <w:rPr>
          <w:rFonts w:ascii="Palatino Linotype" w:hAnsi="Palatino Linotype" w:cs="Arial"/>
          <w:sz w:val="22"/>
          <w:szCs w:val="22"/>
        </w:rPr>
        <w:t>(Énfasis añadido)</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De lo anterior, se desprende que el R</w:t>
      </w:r>
      <w:r w:rsidR="006E66D6" w:rsidRPr="00BF3B15">
        <w:rPr>
          <w:rFonts w:ascii="Palatino Linotype" w:hAnsi="Palatino Linotype" w:cs="Arial"/>
          <w:lang w:eastAsia="es-MX"/>
        </w:rPr>
        <w:t>FC</w:t>
      </w:r>
      <w:r w:rsidRPr="00BF3B15">
        <w:rPr>
          <w:rFonts w:ascii="Palatino Linotype" w:hAnsi="Palatino Linotype" w:cs="Arial"/>
          <w:lang w:eastAsia="es-MX"/>
        </w:rPr>
        <w:t xml:space="preserve"> se vincula al nombre de su </w:t>
      </w:r>
      <w:r w:rsidRPr="00BF3B15">
        <w:rPr>
          <w:rFonts w:ascii="Palatino Linotype" w:hAnsi="Palatino Linotype"/>
          <w:bCs/>
        </w:rPr>
        <w:t>titular</w:t>
      </w:r>
      <w:r w:rsidRPr="00BF3B15">
        <w:rPr>
          <w:rFonts w:ascii="Palatino Linotype" w:hAnsi="Palatino Linotype" w:cs="Arial"/>
          <w:lang w:eastAsia="es-MX"/>
        </w:rPr>
        <w:t xml:space="preserve">, permitiendo identificar la edad de la persona y fecha de nacimiento, determinando </w:t>
      </w:r>
      <w:r w:rsidRPr="00BF3B15">
        <w:rPr>
          <w:rFonts w:ascii="Palatino Linotype" w:hAnsi="Palatino Linotype" w:cs="Arial"/>
        </w:rPr>
        <w:t>la</w:t>
      </w:r>
      <w:r w:rsidRPr="00BF3B15">
        <w:rPr>
          <w:rFonts w:ascii="Palatino Linotype" w:hAnsi="Palatino Linotype" w:cs="Arial"/>
          <w:lang w:eastAsia="es-MX"/>
        </w:rPr>
        <w:t xml:space="preserve"> identificación de dicha persona para efectos fiscales, por lo que éste constituye un dato personal que concierne a una persona física identificada e identificable en términos de los artículos 3, fracción IX de la Ley de Transparencia y Acceso a la Información Pública del Estado de México y </w:t>
      </w:r>
      <w:r w:rsidRPr="00BF3B15">
        <w:rPr>
          <w:rFonts w:ascii="Palatino Linotype" w:hAnsi="Palatino Linotype"/>
          <w:lang w:eastAsia="es-MX"/>
        </w:rPr>
        <w:t>Municipios</w:t>
      </w:r>
      <w:r w:rsidRPr="00BF3B15">
        <w:rPr>
          <w:rFonts w:ascii="Palatino Linotype" w:hAnsi="Palatino Linotype" w:cs="Arial"/>
          <w:lang w:eastAsia="es-MX"/>
        </w:rPr>
        <w:t xml:space="preserve"> y </w:t>
      </w:r>
      <w:r w:rsidRPr="00BF3B15">
        <w:rPr>
          <w:rFonts w:ascii="Palatino Linotype" w:hAnsi="Palatino Linotype" w:cs="Arial"/>
        </w:rPr>
        <w:t>4, fracción XI</w:t>
      </w:r>
      <w:r w:rsidRPr="00BF3B15">
        <w:rPr>
          <w:rFonts w:ascii="Palatino Linotype" w:hAnsi="Palatino Linotype" w:cs="Arial"/>
          <w:lang w:eastAsia="es-MX"/>
        </w:rPr>
        <w:t xml:space="preserve"> </w:t>
      </w:r>
      <w:r w:rsidRPr="00BF3B15">
        <w:rPr>
          <w:rFonts w:ascii="Palatino Linotype" w:hAnsi="Palatino Linotype" w:cs="Arial"/>
        </w:rPr>
        <w:t>de la Ley de Protección de Datos Personales en Posesión de Sujetos Obligados del Estado de México y Municipios.</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Por cuanto hace a la </w:t>
      </w:r>
      <w:r w:rsidRPr="00BF3B15">
        <w:rPr>
          <w:rFonts w:ascii="Palatino Linotype" w:hAnsi="Palatino Linotype" w:cs="Arial"/>
          <w:b/>
        </w:rPr>
        <w:t>C</w:t>
      </w:r>
      <w:r w:rsidR="006E66D6" w:rsidRPr="00BF3B15">
        <w:rPr>
          <w:rFonts w:ascii="Palatino Linotype" w:hAnsi="Palatino Linotype" w:cs="Arial"/>
          <w:b/>
        </w:rPr>
        <w:t>URP</w:t>
      </w:r>
      <w:r w:rsidRPr="00BF3B15">
        <w:rPr>
          <w:rFonts w:ascii="Palatino Linotype" w:hAnsi="Palatino Linotype" w:cs="Arial"/>
          <w:b/>
        </w:rPr>
        <w:t xml:space="preserve">, </w:t>
      </w:r>
      <w:r w:rsidRPr="00BF3B15">
        <w:rPr>
          <w:rFonts w:ascii="Palatino Linotype" w:hAnsi="Palatino Linotype" w:cs="Arial"/>
          <w:lang w:eastAsia="es-MX"/>
        </w:rPr>
        <w:t xml:space="preserve">constituye un dato personal, ya que </w:t>
      </w:r>
      <w:r w:rsidRPr="00BF3B15">
        <w:rPr>
          <w:rFonts w:ascii="Palatino Linotype" w:hAnsi="Palatino Linotype"/>
          <w:lang w:eastAsia="es-MX"/>
        </w:rPr>
        <w:t>tiene</w:t>
      </w:r>
      <w:r w:rsidRPr="00BF3B15">
        <w:rPr>
          <w:rFonts w:ascii="Palatino Linotype" w:hAnsi="Palatino Linotype" w:cs="Arial"/>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lastRenderedPageBreak/>
        <w:t xml:space="preserve">Lo </w:t>
      </w:r>
      <w:r w:rsidRPr="00BF3B15">
        <w:rPr>
          <w:rFonts w:ascii="Palatino Linotype" w:hAnsi="Palatino Linotype"/>
          <w:lang w:eastAsia="es-MX"/>
        </w:rPr>
        <w:t>anterior</w:t>
      </w:r>
      <w:r w:rsidRPr="00BF3B15">
        <w:rPr>
          <w:rFonts w:ascii="Palatino Linotype" w:hAnsi="Palatino Linotype" w:cs="Arial"/>
          <w:lang w:eastAsia="es-MX"/>
        </w:rPr>
        <w:t xml:space="preserve">, </w:t>
      </w:r>
      <w:r w:rsidRPr="00BF3B15">
        <w:rPr>
          <w:rFonts w:ascii="Palatino Linotype" w:hAnsi="Palatino Linotype" w:cs="Arial"/>
        </w:rPr>
        <w:t>tiene</w:t>
      </w:r>
      <w:r w:rsidRPr="00BF3B15">
        <w:rPr>
          <w:rFonts w:ascii="Palatino Linotype" w:hAnsi="Palatino Linotype" w:cs="Arial"/>
          <w:lang w:eastAsia="es-MX"/>
        </w:rPr>
        <w:t xml:space="preserve"> sustento en los artículos 86 y 91 de la Ley General de Población, la cual señala lo siguiente:</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Bold"/>
          <w:bCs/>
          <w:i/>
          <w:sz w:val="22"/>
          <w:szCs w:val="22"/>
          <w:lang w:eastAsia="es-MX"/>
        </w:rPr>
        <w:t>“</w:t>
      </w:r>
      <w:r w:rsidRPr="00BF3B15">
        <w:rPr>
          <w:rFonts w:ascii="Palatino Linotype" w:hAnsi="Palatino Linotype" w:cs="Arial,Bold"/>
          <w:b/>
          <w:bCs/>
          <w:i/>
          <w:sz w:val="22"/>
          <w:szCs w:val="22"/>
          <w:lang w:eastAsia="es-MX"/>
        </w:rPr>
        <w:t xml:space="preserve">Artículo 86. </w:t>
      </w:r>
      <w:r w:rsidRPr="00BF3B15">
        <w:rPr>
          <w:rFonts w:ascii="Palatino Linotype" w:hAnsi="Palatino Linotype" w:cs="Arial"/>
          <w:i/>
          <w:sz w:val="22"/>
          <w:szCs w:val="22"/>
          <w:lang w:eastAsia="es-MX"/>
        </w:rPr>
        <w:t>El Registro Nacional de Población tiene como finalidad registrar a cada una de las personas que integran la población del país, con los datos que permitan certificar y acreditar fehacientemente su identidad.</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Bold"/>
          <w:b/>
          <w:bCs/>
          <w:i/>
          <w:sz w:val="22"/>
          <w:szCs w:val="22"/>
          <w:lang w:eastAsia="es-MX"/>
        </w:rPr>
        <w:t xml:space="preserve">Artículo 91. </w:t>
      </w:r>
      <w:r w:rsidRPr="00BF3B15">
        <w:rPr>
          <w:rFonts w:ascii="Palatino Linotype" w:hAnsi="Palatino Linotype" w:cs="Arial"/>
          <w:b/>
          <w:i/>
          <w:sz w:val="22"/>
          <w:szCs w:val="22"/>
          <w:lang w:eastAsia="es-MX"/>
        </w:rPr>
        <w:t>Al incorporar a una persona en el Registro Nacional de Población</w:t>
      </w:r>
      <w:r w:rsidRPr="00BF3B15">
        <w:rPr>
          <w:rFonts w:ascii="Palatino Linotype" w:hAnsi="Palatino Linotype" w:cs="Arial"/>
          <w:i/>
          <w:sz w:val="22"/>
          <w:szCs w:val="22"/>
          <w:lang w:eastAsia="es-MX"/>
        </w:rPr>
        <w:t xml:space="preserve">, se le asignará una clave </w:t>
      </w:r>
      <w:r w:rsidRPr="00BF3B15">
        <w:rPr>
          <w:rFonts w:ascii="Palatino Linotype" w:hAnsi="Palatino Linotype" w:cs="Arial"/>
          <w:b/>
          <w:i/>
          <w:sz w:val="22"/>
          <w:szCs w:val="22"/>
          <w:lang w:eastAsia="es-MX"/>
        </w:rPr>
        <w:t>que se denominará Clave Única de Registro de Población</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Esta servirá para</w:t>
      </w:r>
      <w:r w:rsidRPr="00BF3B15">
        <w:rPr>
          <w:rFonts w:ascii="Palatino Linotype" w:hAnsi="Palatino Linotype" w:cs="Arial"/>
          <w:i/>
          <w:sz w:val="22"/>
          <w:szCs w:val="22"/>
          <w:lang w:eastAsia="es-MX"/>
        </w:rPr>
        <w:t xml:space="preserve"> registrarla e </w:t>
      </w:r>
      <w:r w:rsidRPr="00BF3B15">
        <w:rPr>
          <w:rFonts w:ascii="Palatino Linotype" w:hAnsi="Palatino Linotype" w:cs="Arial"/>
          <w:b/>
          <w:i/>
          <w:sz w:val="22"/>
          <w:szCs w:val="22"/>
          <w:lang w:eastAsia="es-MX"/>
        </w:rPr>
        <w:t>identificarla en forma individual</w:t>
      </w:r>
      <w:r w:rsidRPr="00BF3B15">
        <w:rPr>
          <w:rFonts w:ascii="Palatino Linotype" w:hAnsi="Palatino Linotype" w:cs="Arial"/>
          <w:i/>
          <w:sz w:val="22"/>
          <w:szCs w:val="22"/>
          <w:lang w:eastAsia="es-MX"/>
        </w:rPr>
        <w:t xml:space="preserve">.” </w:t>
      </w:r>
    </w:p>
    <w:p w:rsidR="006C781D" w:rsidRPr="00BF3B15" w:rsidRDefault="006C781D" w:rsidP="006C781D">
      <w:pPr>
        <w:autoSpaceDE w:val="0"/>
        <w:autoSpaceDN w:val="0"/>
        <w:adjustRightInd w:val="0"/>
        <w:ind w:left="851" w:right="902"/>
        <w:jc w:val="both"/>
        <w:rPr>
          <w:rFonts w:ascii="Palatino Linotype" w:hAnsi="Palatino Linotype" w:cs="Arial"/>
          <w:sz w:val="22"/>
          <w:szCs w:val="22"/>
        </w:rPr>
      </w:pPr>
      <w:r w:rsidRPr="00BF3B15">
        <w:rPr>
          <w:rFonts w:ascii="Palatino Linotype" w:hAnsi="Palatino Linotype" w:cs="Arial"/>
          <w:sz w:val="22"/>
          <w:szCs w:val="22"/>
        </w:rPr>
        <w:t>(Énfasis añadido)</w:t>
      </w:r>
    </w:p>
    <w:p w:rsidR="006C781D" w:rsidRPr="00BF3B15" w:rsidRDefault="006C781D" w:rsidP="006C781D">
      <w:pPr>
        <w:spacing w:before="100" w:beforeAutospacing="1" w:after="100" w:afterAutospacing="1" w:line="360" w:lineRule="auto"/>
        <w:jc w:val="both"/>
        <w:rPr>
          <w:rFonts w:ascii="Palatino Linotype" w:hAnsi="Palatino Linotype"/>
          <w:lang w:eastAsia="es-MX"/>
        </w:rPr>
      </w:pPr>
      <w:r w:rsidRPr="00BF3B15">
        <w:rPr>
          <w:rFonts w:ascii="Palatino Linotype" w:hAnsi="Palatino Linotype"/>
          <w:lang w:eastAsia="es-MX"/>
        </w:rPr>
        <w:t>Ahora bien, la C</w:t>
      </w:r>
      <w:r w:rsidR="006E66D6" w:rsidRPr="00BF3B15">
        <w:rPr>
          <w:rFonts w:ascii="Palatino Linotype" w:hAnsi="Palatino Linotype"/>
          <w:lang w:eastAsia="es-MX"/>
        </w:rPr>
        <w:t>URP</w:t>
      </w:r>
      <w:r w:rsidRPr="00BF3B15">
        <w:rPr>
          <w:rFonts w:ascii="Palatino Linotype" w:hAnsi="Palatino Linotype"/>
          <w:lang w:eastAsia="es-MX"/>
        </w:rPr>
        <w:t xml:space="preserve">, está integrada de 18 elementos representados por letras y números, que se generan a partir de los datos contenidos en un documento probatorio de </w:t>
      </w:r>
      <w:r w:rsidRPr="00BF3B15">
        <w:rPr>
          <w:rFonts w:ascii="Palatino Linotype" w:hAnsi="Palatino Linotype"/>
          <w:bCs/>
        </w:rPr>
        <w:t>identidad</w:t>
      </w:r>
      <w:r w:rsidRPr="00BF3B15">
        <w:rPr>
          <w:rFonts w:ascii="Palatino Linotype" w:hAnsi="Palatino Linotype"/>
          <w:lang w:eastAsia="es-MX"/>
        </w:rPr>
        <w:t xml:space="preserve"> (acta de nacimiento, carta de naturalización o documento migratorio), la </w:t>
      </w:r>
      <w:r w:rsidRPr="00BF3B15">
        <w:rPr>
          <w:rFonts w:ascii="Palatino Linotype" w:hAnsi="Palatino Linotype" w:cs="Arial"/>
        </w:rPr>
        <w:t>cual</w:t>
      </w:r>
      <w:r w:rsidRPr="00BF3B15">
        <w:rPr>
          <w:rFonts w:ascii="Palatino Linotype" w:hAnsi="Palatino Linotype"/>
          <w:lang w:eastAsia="es-MX"/>
        </w:rPr>
        <w:t xml:space="preserve"> se integra de</w:t>
      </w:r>
      <w:r w:rsidRPr="00BF3B15">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BF3B15">
        <w:rPr>
          <w:rFonts w:ascii="Palatino Linotype" w:hAnsi="Palatino Linotype"/>
          <w:lang w:eastAsia="es-MX"/>
        </w:rPr>
        <w:t xml:space="preserve">; sexo; Entidad Federativa de nacimiento; consonantes internas del nombre y apellidos; un diferenciador de homonimia y siglo; y un digito verificador, que garantizan la correcta integración. </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Al respecto, el </w:t>
      </w:r>
      <w:r w:rsidRPr="00BF3B15">
        <w:rPr>
          <w:rFonts w:ascii="Palatino Linotype" w:eastAsia="Arial Unicode MS" w:hAnsi="Palatino Linotype" w:cs="Arial"/>
        </w:rPr>
        <w:t>Instituto Nacional de Transparencia, Acceso a la Información y Protección de Datos Personales (INAI),</w:t>
      </w:r>
      <w:r w:rsidRPr="00BF3B15">
        <w:rPr>
          <w:rFonts w:ascii="Palatino Linotype" w:hAnsi="Palatino Linotype" w:cs="Arial"/>
          <w:lang w:eastAsia="es-MX"/>
        </w:rPr>
        <w:t xml:space="preserve"> a través del Criterio 18/17 de la Segunda Época, señala literalmente lo siguiente:</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w:t>
      </w:r>
      <w:r w:rsidRPr="00BF3B15">
        <w:rPr>
          <w:rFonts w:ascii="Palatino Linotype" w:hAnsi="Palatino Linotype" w:cs="Arial"/>
          <w:b/>
          <w:i/>
          <w:sz w:val="22"/>
          <w:szCs w:val="22"/>
          <w:lang w:eastAsia="es-MX"/>
        </w:rPr>
        <w:t>Clave Única de Registro de Población (CURP).</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La Clave Única de Registro de Población se integra por datos personales que sólo conciernen al particular titular</w:t>
      </w:r>
      <w:r w:rsidRPr="00BF3B15">
        <w:rPr>
          <w:rFonts w:ascii="Palatino Linotype" w:hAnsi="Palatino Linotype" w:cs="Arial"/>
          <w:i/>
          <w:sz w:val="22"/>
          <w:szCs w:val="22"/>
          <w:lang w:eastAsia="es-MX"/>
        </w:rPr>
        <w:t xml:space="preserve"> de la misma, </w:t>
      </w:r>
      <w:r w:rsidRPr="00BF3B15">
        <w:rPr>
          <w:rFonts w:ascii="Palatino Linotype" w:hAnsi="Palatino Linotype" w:cs="Arial"/>
          <w:b/>
          <w:i/>
          <w:sz w:val="22"/>
          <w:szCs w:val="22"/>
          <w:lang w:eastAsia="es-MX"/>
        </w:rPr>
        <w:t>como lo son su nombre, apellidos, fecha de nacimiento, lugar de nacimiento y sexo</w:t>
      </w:r>
      <w:r w:rsidRPr="00BF3B15">
        <w:rPr>
          <w:rFonts w:ascii="Palatino Linotype" w:hAnsi="Palatino Linotype" w:cs="Arial"/>
          <w:i/>
          <w:sz w:val="22"/>
          <w:szCs w:val="22"/>
          <w:lang w:eastAsia="es-MX"/>
        </w:rPr>
        <w:t xml:space="preserve">. Dichos datos, constituyen información que distingue plenamente a una persona física del resto de los habitantes del país, </w:t>
      </w:r>
      <w:r w:rsidRPr="00BF3B15">
        <w:rPr>
          <w:rFonts w:ascii="Palatino Linotype" w:hAnsi="Palatino Linotype" w:cs="Arial"/>
          <w:b/>
          <w:i/>
          <w:sz w:val="22"/>
          <w:szCs w:val="22"/>
          <w:lang w:eastAsia="es-MX"/>
        </w:rPr>
        <w:t>por lo que la CURP está considerada como información confidencial</w:t>
      </w:r>
      <w:r w:rsidRPr="00BF3B15">
        <w:rPr>
          <w:rFonts w:ascii="Palatino Linotype" w:hAnsi="Palatino Linotype" w:cs="Arial"/>
          <w:i/>
          <w:sz w:val="22"/>
          <w:szCs w:val="22"/>
          <w:lang w:eastAsia="es-MX"/>
        </w:rPr>
        <w:t xml:space="preserve">. </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lang w:eastAsia="es-MX"/>
        </w:rPr>
      </w:pPr>
      <w:r w:rsidRPr="00BF3B15">
        <w:rPr>
          <w:rFonts w:ascii="Palatino Linotype" w:hAnsi="Palatino Linotype" w:cs="Arial"/>
          <w:bCs/>
          <w:i/>
          <w:sz w:val="22"/>
          <w:szCs w:val="22"/>
          <w:lang w:eastAsia="es-MX"/>
        </w:rPr>
        <w:lastRenderedPageBreak/>
        <w:t>Resoluciones:</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lang w:eastAsia="es-MX"/>
        </w:rPr>
      </w:pPr>
      <w:r w:rsidRPr="00BF3B15">
        <w:rPr>
          <w:rFonts w:ascii="Palatino Linotype" w:hAnsi="Palatino Linotype" w:cs="Arial"/>
          <w:bCs/>
          <w:i/>
          <w:sz w:val="22"/>
          <w:szCs w:val="22"/>
          <w:lang w:eastAsia="es-MX"/>
        </w:rPr>
        <w:t xml:space="preserve">• RRA 3995/16. Secretaría de la Defensa Nacional. 1 de febrero de 2017. Por unanimidad. Comisionado Ponente </w:t>
      </w:r>
      <w:proofErr w:type="spellStart"/>
      <w:r w:rsidRPr="00BF3B15">
        <w:rPr>
          <w:rFonts w:ascii="Palatino Linotype" w:hAnsi="Palatino Linotype" w:cs="Arial"/>
          <w:bCs/>
          <w:i/>
          <w:sz w:val="22"/>
          <w:szCs w:val="22"/>
          <w:lang w:eastAsia="es-MX"/>
        </w:rPr>
        <w:t>Rosendoevgueni</w:t>
      </w:r>
      <w:proofErr w:type="spellEnd"/>
      <w:r w:rsidRPr="00BF3B15">
        <w:rPr>
          <w:rFonts w:ascii="Palatino Linotype" w:hAnsi="Palatino Linotype" w:cs="Arial"/>
          <w:bCs/>
          <w:i/>
          <w:sz w:val="22"/>
          <w:szCs w:val="22"/>
          <w:lang w:eastAsia="es-MX"/>
        </w:rPr>
        <w:t xml:space="preserve"> Monterrey </w:t>
      </w:r>
      <w:proofErr w:type="spellStart"/>
      <w:r w:rsidRPr="00BF3B15">
        <w:rPr>
          <w:rFonts w:ascii="Palatino Linotype" w:hAnsi="Palatino Linotype" w:cs="Arial"/>
          <w:bCs/>
          <w:i/>
          <w:sz w:val="22"/>
          <w:szCs w:val="22"/>
          <w:lang w:eastAsia="es-MX"/>
        </w:rPr>
        <w:t>Chepov</w:t>
      </w:r>
      <w:proofErr w:type="spellEnd"/>
      <w:r w:rsidRPr="00BF3B15">
        <w:rPr>
          <w:rFonts w:ascii="Palatino Linotype" w:hAnsi="Palatino Linotype" w:cs="Arial"/>
          <w:bCs/>
          <w:i/>
          <w:sz w:val="22"/>
          <w:szCs w:val="22"/>
          <w:lang w:eastAsia="es-MX"/>
        </w:rPr>
        <w:t>.</w:t>
      </w:r>
    </w:p>
    <w:p w:rsidR="006C781D" w:rsidRPr="00BF3B15" w:rsidRDefault="006C781D" w:rsidP="006C781D">
      <w:pPr>
        <w:autoSpaceDE w:val="0"/>
        <w:autoSpaceDN w:val="0"/>
        <w:adjustRightInd w:val="0"/>
        <w:ind w:left="851" w:right="902"/>
        <w:jc w:val="both"/>
        <w:rPr>
          <w:rFonts w:ascii="Palatino Linotype" w:hAnsi="Palatino Linotype" w:cs="Arial"/>
          <w:bCs/>
          <w:i/>
          <w:sz w:val="22"/>
          <w:szCs w:val="22"/>
          <w:lang w:eastAsia="es-MX"/>
        </w:rPr>
      </w:pPr>
      <w:r w:rsidRPr="00BF3B15">
        <w:rPr>
          <w:rFonts w:ascii="Palatino Linotype" w:hAnsi="Palatino Linotype" w:cs="Arial"/>
          <w:bCs/>
          <w:i/>
          <w:sz w:val="22"/>
          <w:szCs w:val="22"/>
          <w:lang w:eastAsia="es-MX"/>
        </w:rPr>
        <w:t xml:space="preserve">• RRA 0937/17. Senado de la República. 15 de marzo de 2017. Por unanimidad. Comisionada Ponente </w:t>
      </w:r>
      <w:r w:rsidRPr="00BF3B15">
        <w:rPr>
          <w:rFonts w:ascii="Palatino Linotype" w:hAnsi="Palatino Linotype" w:cs="Arial"/>
          <w:i/>
          <w:sz w:val="22"/>
          <w:szCs w:val="22"/>
          <w:lang w:eastAsia="es-MX"/>
        </w:rPr>
        <w:t>Ximena</w:t>
      </w:r>
      <w:r w:rsidRPr="00BF3B15">
        <w:rPr>
          <w:rFonts w:ascii="Palatino Linotype" w:hAnsi="Palatino Linotype" w:cs="Arial"/>
          <w:bCs/>
          <w:i/>
          <w:sz w:val="22"/>
          <w:szCs w:val="22"/>
          <w:lang w:eastAsia="es-MX"/>
        </w:rPr>
        <w:t xml:space="preserve"> Puente de la Mora. </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Cs/>
          <w:i/>
          <w:sz w:val="22"/>
          <w:szCs w:val="22"/>
          <w:lang w:eastAsia="es-MX"/>
        </w:rPr>
        <w:t xml:space="preserve">• RRA 0478/17. Secretaría de Relaciones Exteriores. 26 de abril de 2017. Por unanimidad. </w:t>
      </w:r>
      <w:r w:rsidRPr="00BF3B15">
        <w:rPr>
          <w:rFonts w:ascii="Palatino Linotype" w:hAnsi="Palatino Linotype" w:cs="Arial"/>
          <w:i/>
          <w:sz w:val="22"/>
          <w:szCs w:val="22"/>
          <w:lang w:eastAsia="es-MX"/>
        </w:rPr>
        <w:t>Comisionada</w:t>
      </w:r>
      <w:r w:rsidRPr="00BF3B15">
        <w:rPr>
          <w:rFonts w:ascii="Palatino Linotype" w:hAnsi="Palatino Linotype" w:cs="Arial"/>
          <w:bCs/>
          <w:i/>
          <w:sz w:val="22"/>
          <w:szCs w:val="22"/>
          <w:lang w:eastAsia="es-MX"/>
        </w:rPr>
        <w:t xml:space="preserve"> Ponente Areli Cano Guadiana.</w:t>
      </w:r>
      <w:r w:rsidRPr="00BF3B15">
        <w:rPr>
          <w:rFonts w:ascii="Palatino Linotype" w:hAnsi="Palatino Linotype" w:cs="Arial"/>
          <w:i/>
          <w:sz w:val="22"/>
          <w:szCs w:val="22"/>
          <w:lang w:eastAsia="es-MX"/>
        </w:rPr>
        <w:t xml:space="preserve">” </w:t>
      </w:r>
      <w:r w:rsidRPr="00BF3B15">
        <w:rPr>
          <w:rFonts w:ascii="Palatino Linotype" w:hAnsi="Palatino Linotype" w:cs="Arial"/>
          <w:i/>
          <w:sz w:val="22"/>
          <w:szCs w:val="22"/>
        </w:rPr>
        <w:t>(Sic)</w:t>
      </w:r>
    </w:p>
    <w:p w:rsidR="006C781D" w:rsidRPr="00BF3B15" w:rsidRDefault="006C781D" w:rsidP="006C781D">
      <w:pPr>
        <w:autoSpaceDE w:val="0"/>
        <w:autoSpaceDN w:val="0"/>
        <w:adjustRightInd w:val="0"/>
        <w:ind w:left="851" w:right="902"/>
        <w:jc w:val="both"/>
        <w:rPr>
          <w:rFonts w:ascii="Palatino Linotype" w:hAnsi="Palatino Linotype" w:cs="Arial"/>
          <w:sz w:val="22"/>
          <w:szCs w:val="22"/>
        </w:rPr>
      </w:pPr>
      <w:r w:rsidRPr="00BF3B15">
        <w:rPr>
          <w:rFonts w:ascii="Palatino Linotype" w:hAnsi="Palatino Linotype" w:cs="Arial"/>
          <w:sz w:val="22"/>
          <w:szCs w:val="22"/>
        </w:rPr>
        <w:t>(Énfasis añadido)</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De lo anterior, se desprende que la </w:t>
      </w:r>
      <w:r w:rsidRPr="00BF3B15">
        <w:rPr>
          <w:rFonts w:ascii="Palatino Linotype" w:hAnsi="Palatino Linotype"/>
          <w:lang w:eastAsia="es-MX"/>
        </w:rPr>
        <w:t>C</w:t>
      </w:r>
      <w:r w:rsidR="006E66D6" w:rsidRPr="00BF3B15">
        <w:rPr>
          <w:rFonts w:ascii="Palatino Linotype" w:hAnsi="Palatino Linotype"/>
          <w:lang w:eastAsia="es-MX"/>
        </w:rPr>
        <w:t>URP</w:t>
      </w:r>
      <w:r w:rsidRPr="00BF3B15">
        <w:rPr>
          <w:rFonts w:ascii="Palatino Linotype" w:hAnsi="Palatino Linotype"/>
          <w:lang w:eastAsia="es-MX"/>
        </w:rPr>
        <w:t xml:space="preserve">, </w:t>
      </w:r>
      <w:r w:rsidRPr="00BF3B15">
        <w:rPr>
          <w:rFonts w:ascii="Palatino Linotype" w:hAnsi="Palatino Linotype" w:cs="Arial"/>
          <w:lang w:eastAsia="es-MX"/>
        </w:rPr>
        <w:t xml:space="preserve">se encuentra vinculada al nombre y apellidos de la persona, permitiendo identificar fecha y lugar de nacimiento, así como el sexo; datos que únicamente le atañen a su titular, por lo que, ésta constituye un dato </w:t>
      </w:r>
      <w:r w:rsidRPr="00BF3B15">
        <w:rPr>
          <w:rFonts w:ascii="Palatino Linotype" w:hAnsi="Palatino Linotype"/>
          <w:bCs/>
        </w:rPr>
        <w:t>personal</w:t>
      </w:r>
      <w:r w:rsidRPr="00BF3B15">
        <w:rPr>
          <w:rFonts w:ascii="Palatino Linotype" w:hAnsi="Palatino Linotype" w:cs="Arial"/>
          <w:lang w:eastAsia="es-MX"/>
        </w:rPr>
        <w:t xml:space="preserve"> que concierne a una persona física identificada e identificable en términos de los artículos 2, fracción II de la Ley de Transparencia y Acceso a la Información Pública del Estado de México y Municipios y </w:t>
      </w:r>
      <w:r w:rsidRPr="00BF3B15">
        <w:rPr>
          <w:rFonts w:ascii="Palatino Linotype" w:hAnsi="Palatino Linotype" w:cs="Arial"/>
        </w:rPr>
        <w:t>4, fracción XI</w:t>
      </w:r>
      <w:r w:rsidRPr="00BF3B15">
        <w:rPr>
          <w:rFonts w:ascii="Palatino Linotype" w:hAnsi="Palatino Linotype" w:cs="Arial"/>
          <w:lang w:eastAsia="es-MX"/>
        </w:rPr>
        <w:t xml:space="preserve"> </w:t>
      </w:r>
      <w:r w:rsidRPr="00BF3B15">
        <w:rPr>
          <w:rFonts w:ascii="Palatino Linotype" w:hAnsi="Palatino Linotype" w:cs="Arial"/>
        </w:rPr>
        <w:t>de la Ley de Protección de Datos Personales en Posesión de Sujetos Obligados del Estado de México y Municipios</w:t>
      </w:r>
      <w:r w:rsidRPr="00BF3B15">
        <w:rPr>
          <w:rFonts w:ascii="Palatino Linotype" w:hAnsi="Palatino Linotype" w:cs="Arial"/>
          <w:lang w:eastAsia="es-MX"/>
        </w:rPr>
        <w:t>.</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Por cuanto hace a la </w:t>
      </w:r>
      <w:r w:rsidRPr="00BF3B15">
        <w:rPr>
          <w:rFonts w:ascii="Palatino Linotype" w:hAnsi="Palatino Linotype" w:cs="Arial"/>
          <w:b/>
        </w:rPr>
        <w:t>Clave de cualquier tipo de seguridad social</w:t>
      </w:r>
      <w:r w:rsidRPr="00BF3B15">
        <w:rPr>
          <w:rFonts w:ascii="Palatino Linotype" w:hAnsi="Palatino Linotype" w:cs="Arial"/>
        </w:rPr>
        <w:t xml:space="preserve"> (ISSEMYM, u otros), está integrado por una </w:t>
      </w:r>
      <w:r w:rsidRPr="00BF3B15">
        <w:rPr>
          <w:rFonts w:ascii="Palatino Linotype" w:hAnsi="Palatino Linotype" w:cs="Arial"/>
          <w:bCs/>
          <w:lang w:eastAsia="es-MX"/>
        </w:rPr>
        <w:t xml:space="preserve">secuencia de números con los que se identifica a los trabajadores que </w:t>
      </w:r>
      <w:r w:rsidRPr="00BF3B15">
        <w:rPr>
          <w:rFonts w:ascii="Palatino Linotype" w:hAnsi="Palatino Linotype"/>
          <w:lang w:eastAsia="es-MX"/>
        </w:rPr>
        <w:t>cubren</w:t>
      </w:r>
      <w:r w:rsidRPr="00BF3B15">
        <w:rPr>
          <w:rFonts w:ascii="Palatino Linotype" w:hAnsi="Palatino Linotype" w:cs="Arial"/>
          <w:bCs/>
          <w:lang w:eastAsia="es-MX"/>
        </w:rPr>
        <w:t xml:space="preserve"> las cuotas respectivas, asimismo, lo identifica con la fuente de trabajo; por lo que al ser una clave de </w:t>
      </w:r>
      <w:r w:rsidRPr="00BF3B15">
        <w:rPr>
          <w:rFonts w:ascii="Palatino Linotype" w:hAnsi="Palatino Linotype" w:cs="Arial"/>
        </w:rPr>
        <w:t>identificación</w:t>
      </w:r>
      <w:r w:rsidRPr="00BF3B15">
        <w:rPr>
          <w:rFonts w:ascii="Palatino Linotype" w:hAnsi="Palatino Linotype" w:cs="Arial"/>
          <w:bCs/>
          <w:lang w:eastAsia="es-MX"/>
        </w:rPr>
        <w:t xml:space="preserve"> de los trabajadores, constituye información confidencial, </w:t>
      </w:r>
      <w:r w:rsidRPr="00BF3B15">
        <w:rPr>
          <w:rFonts w:ascii="Palatino Linotype" w:hAnsi="Palatino Linotype" w:cs="Arial"/>
          <w:lang w:eastAsia="es-MX"/>
        </w:rPr>
        <w:t xml:space="preserve">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w:t>
      </w:r>
      <w:r w:rsidRPr="00BF3B15">
        <w:rPr>
          <w:rFonts w:ascii="Palatino Linotype" w:hAnsi="Palatino Linotype" w:cs="Arial"/>
        </w:rPr>
        <w:t>4, fracción XI</w:t>
      </w:r>
      <w:r w:rsidRPr="00BF3B15">
        <w:rPr>
          <w:rFonts w:ascii="Palatino Linotype" w:hAnsi="Palatino Linotype" w:cs="Arial"/>
          <w:lang w:eastAsia="es-MX"/>
        </w:rPr>
        <w:t xml:space="preserve"> </w:t>
      </w:r>
      <w:r w:rsidRPr="00BF3B15">
        <w:rPr>
          <w:rFonts w:ascii="Palatino Linotype" w:hAnsi="Palatino Linotype" w:cs="Arial"/>
        </w:rPr>
        <w:t>de la Ley de Protección de Datos Personales en Posesión de Sujetos Obligados del Estado de México y Municipios</w:t>
      </w:r>
      <w:r w:rsidRPr="00BF3B15">
        <w:rPr>
          <w:rFonts w:ascii="Palatino Linotype" w:hAnsi="Palatino Linotype" w:cs="Arial"/>
          <w:lang w:eastAsia="es-MX"/>
        </w:rPr>
        <w:t>.</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rPr>
        <w:t xml:space="preserve">Respecto de los </w:t>
      </w:r>
      <w:r w:rsidRPr="00BF3B15">
        <w:rPr>
          <w:rFonts w:ascii="Palatino Linotype" w:hAnsi="Palatino Linotype" w:cs="Arial"/>
          <w:b/>
        </w:rPr>
        <w:t>préstamos o descuentos</w:t>
      </w:r>
      <w:r w:rsidRPr="00BF3B15">
        <w:rPr>
          <w:rFonts w:ascii="Palatino Linotype" w:hAnsi="Palatino Linotype" w:cs="Arial"/>
        </w:rPr>
        <w:t xml:space="preserve"> </w:t>
      </w:r>
      <w:r w:rsidRPr="00BF3B15">
        <w:rPr>
          <w:rFonts w:ascii="Palatino Linotype" w:hAnsi="Palatino Linotype" w:cs="Arial"/>
          <w:b/>
        </w:rPr>
        <w:t>de carácter personal</w:t>
      </w:r>
      <w:r w:rsidRPr="00BF3B15">
        <w:rPr>
          <w:rFonts w:ascii="Palatino Linotype" w:hAnsi="Palatino Linotype" w:cs="Arial"/>
        </w:rPr>
        <w:t xml:space="preserve">, éstos no deben tener relación con la prestación del servicio; es decir, son confidenciales los préstamos o </w:t>
      </w:r>
      <w:r w:rsidRPr="00BF3B15">
        <w:rPr>
          <w:rFonts w:ascii="Palatino Linotype" w:hAnsi="Palatino Linotype" w:cs="Arial"/>
        </w:rPr>
        <w:lastRenderedPageBreak/>
        <w:t xml:space="preserve">descuentos que se le hagan a la persona en los que no se involucren instituciones públicas, en virtud de  no </w:t>
      </w:r>
      <w:r w:rsidRPr="00BF3B15">
        <w:rPr>
          <w:rFonts w:ascii="Palatino Linotype" w:hAnsi="Palatino Linotype" w:cs="Arial"/>
          <w:lang w:eastAsia="es-MX"/>
        </w:rPr>
        <w:t>favorecer  en la transparencia y rendición de cuentas, sino, por el contrario con ello se violentaría la</w:t>
      </w:r>
      <w:r w:rsidRPr="00BF3B15">
        <w:rPr>
          <w:rFonts w:ascii="Palatino Linotype" w:hAnsi="Palatino Linotype"/>
        </w:rPr>
        <w:t xml:space="preserve"> </w:t>
      </w:r>
      <w:r w:rsidRPr="00BF3B15">
        <w:rPr>
          <w:rFonts w:ascii="Palatino Linotype" w:hAnsi="Palatino Linotype" w:cs="Arial"/>
          <w:lang w:eastAsia="es-MX"/>
        </w:rPr>
        <w:t>protección de información confidencial, porque incide en la intimidad de un individuo</w:t>
      </w:r>
      <w:r w:rsidRPr="00BF3B15">
        <w:rPr>
          <w:rFonts w:ascii="Palatino Linotype" w:hAnsi="Palatino Linotype"/>
        </w:rPr>
        <w:t xml:space="preserve"> </w:t>
      </w:r>
      <w:r w:rsidRPr="00BF3B15">
        <w:rPr>
          <w:rFonts w:ascii="Palatino Linotype" w:hAnsi="Palatino Linotype" w:cs="Arial"/>
          <w:lang w:eastAsia="es-MX"/>
        </w:rPr>
        <w:t>identificado.</w:t>
      </w:r>
    </w:p>
    <w:p w:rsidR="006C781D" w:rsidRPr="00BF3B15" w:rsidRDefault="006C781D" w:rsidP="006C781D">
      <w:pPr>
        <w:spacing w:before="100" w:beforeAutospacing="1" w:after="100" w:afterAutospacing="1" w:line="360" w:lineRule="auto"/>
        <w:jc w:val="both"/>
        <w:rPr>
          <w:rFonts w:ascii="Palatino Linotype" w:hAnsi="Palatino Linotype" w:cs="Arial"/>
          <w:lang w:eastAsia="es-MX"/>
        </w:rPr>
      </w:pPr>
      <w:r w:rsidRPr="00BF3B15">
        <w:rPr>
          <w:rFonts w:ascii="Palatino Linotype" w:hAnsi="Palatino Linotype" w:cs="Arial"/>
          <w:lang w:eastAsia="es-MX"/>
        </w:rPr>
        <w:t xml:space="preserve">Por su </w:t>
      </w:r>
      <w:r w:rsidRPr="00BF3B15">
        <w:rPr>
          <w:rFonts w:ascii="Palatino Linotype" w:hAnsi="Palatino Linotype"/>
          <w:lang w:eastAsia="es-MX"/>
        </w:rPr>
        <w:t>parte</w:t>
      </w:r>
      <w:r w:rsidRPr="00BF3B15">
        <w:rPr>
          <w:rFonts w:ascii="Palatino Linotype" w:hAnsi="Palatino Linotype" w:cs="Arial"/>
          <w:lang w:eastAsia="es-MX"/>
        </w:rPr>
        <w:t xml:space="preserve">, el </w:t>
      </w:r>
      <w:r w:rsidRPr="00BF3B15">
        <w:rPr>
          <w:rFonts w:ascii="Palatino Linotype" w:hAnsi="Palatino Linotype" w:cs="Arial"/>
        </w:rPr>
        <w:t>artículo 84 de la Ley del Trabajo de los Servidores Públicos del Estado y Municipios, señala:</w:t>
      </w:r>
    </w:p>
    <w:p w:rsidR="006C781D" w:rsidRPr="00BF3B15" w:rsidRDefault="006C781D" w:rsidP="006C781D">
      <w:pPr>
        <w:autoSpaceDE w:val="0"/>
        <w:autoSpaceDN w:val="0"/>
        <w:adjustRightInd w:val="0"/>
        <w:ind w:left="851" w:right="902"/>
        <w:jc w:val="both"/>
        <w:rPr>
          <w:rFonts w:ascii="Palatino Linotype" w:hAnsi="Palatino Linotype" w:cs="Arial"/>
          <w:b/>
          <w:bCs/>
          <w:i/>
          <w:noProof/>
          <w:sz w:val="22"/>
          <w:szCs w:val="22"/>
        </w:rPr>
      </w:pPr>
      <w:r w:rsidRPr="00BF3B15">
        <w:rPr>
          <w:rFonts w:ascii="Palatino Linotype" w:hAnsi="Palatino Linotype" w:cs="Arial"/>
          <w:bCs/>
          <w:i/>
          <w:noProof/>
          <w:sz w:val="22"/>
          <w:szCs w:val="22"/>
        </w:rPr>
        <w:t>“</w:t>
      </w:r>
      <w:r w:rsidRPr="00BF3B15">
        <w:rPr>
          <w:rFonts w:ascii="Palatino Linotype" w:hAnsi="Palatino Linotype" w:cs="Arial"/>
          <w:b/>
          <w:bCs/>
          <w:i/>
          <w:noProof/>
          <w:sz w:val="22"/>
          <w:szCs w:val="22"/>
        </w:rPr>
        <w:t>ARTICULO 84. Sólo podrán hacerse retenciones, descuentos o deducciones al sueldo de los servidores públicos por concepto de:</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Cs/>
          <w:i/>
          <w:noProof/>
          <w:sz w:val="22"/>
          <w:szCs w:val="22"/>
        </w:rPr>
        <w:t xml:space="preserve">I. </w:t>
      </w:r>
      <w:r w:rsidRPr="00BF3B15">
        <w:rPr>
          <w:rFonts w:ascii="Palatino Linotype" w:hAnsi="Palatino Linotype" w:cs="Arial"/>
          <w:i/>
          <w:sz w:val="22"/>
          <w:szCs w:val="22"/>
          <w:lang w:eastAsia="es-MX"/>
        </w:rPr>
        <w:t>Gravámenes fiscales relacionados con el sueldo;</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II. Deudas contraídas con las instituciones públicas o dependencias</w:t>
      </w:r>
      <w:r w:rsidRPr="00BF3B15">
        <w:rPr>
          <w:rFonts w:ascii="Palatino Linotype" w:hAnsi="Palatino Linotype" w:cs="Arial"/>
          <w:i/>
          <w:sz w:val="22"/>
          <w:szCs w:val="22"/>
          <w:lang w:eastAsia="es-MX"/>
        </w:rPr>
        <w:t xml:space="preserve"> por concepto de anticipos de sueldo, pagos hechos con exceso, errores o pérdidas debidamente comprobados;</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
          <w:i/>
          <w:sz w:val="22"/>
          <w:szCs w:val="22"/>
          <w:lang w:eastAsia="es-MX"/>
        </w:rPr>
        <w:t>III. Cuotas sindicales</w:t>
      </w:r>
      <w:r w:rsidRPr="00BF3B15">
        <w:rPr>
          <w:rFonts w:ascii="Palatino Linotype" w:hAnsi="Palatino Linotype" w:cs="Arial"/>
          <w:bCs/>
          <w:i/>
          <w:noProof/>
          <w:sz w:val="22"/>
          <w:szCs w:val="22"/>
        </w:rPr>
        <w:t>;</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Cs/>
          <w:i/>
          <w:noProof/>
          <w:sz w:val="22"/>
          <w:szCs w:val="22"/>
        </w:rPr>
        <w:t xml:space="preserve">IV. Cuotas de </w:t>
      </w:r>
      <w:r w:rsidRPr="00BF3B15">
        <w:rPr>
          <w:rFonts w:ascii="Palatino Linotype" w:hAnsi="Palatino Linotype" w:cs="Arial"/>
          <w:i/>
          <w:sz w:val="22"/>
          <w:szCs w:val="22"/>
          <w:lang w:eastAsia="es-MX"/>
        </w:rPr>
        <w:t>aportación</w:t>
      </w:r>
      <w:r w:rsidRPr="00BF3B15">
        <w:rPr>
          <w:rFonts w:ascii="Palatino Linotype" w:hAnsi="Palatino Linotype" w:cs="Arial"/>
          <w:bCs/>
          <w:i/>
          <w:noProof/>
          <w:sz w:val="22"/>
          <w:szCs w:val="22"/>
        </w:rPr>
        <w:t xml:space="preserve"> a fondos para la constitución de cooperativas y de cajas de ahorro, </w:t>
      </w:r>
      <w:r w:rsidRPr="00BF3B15">
        <w:rPr>
          <w:rFonts w:ascii="Palatino Linotype" w:hAnsi="Palatino Linotype" w:cs="Arial"/>
          <w:i/>
          <w:sz w:val="22"/>
          <w:szCs w:val="22"/>
          <w:lang w:eastAsia="es-MX"/>
        </w:rPr>
        <w:t>siempre</w:t>
      </w:r>
      <w:r w:rsidRPr="00BF3B15">
        <w:rPr>
          <w:rFonts w:ascii="Palatino Linotype" w:hAnsi="Palatino Linotype" w:cs="Arial"/>
          <w:bCs/>
          <w:i/>
          <w:noProof/>
          <w:sz w:val="22"/>
          <w:szCs w:val="22"/>
        </w:rPr>
        <w:t xml:space="preserve"> que el servidor público hubiese manifestado previamente, de manera expresa, su conformidad;</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Cs/>
          <w:i/>
          <w:noProof/>
          <w:sz w:val="22"/>
          <w:szCs w:val="22"/>
        </w:rPr>
        <w:t xml:space="preserve">V. Descuentos ordenados por el Instituto de Seguridad Social del Estado de México y </w:t>
      </w:r>
      <w:r w:rsidRPr="00BF3B15">
        <w:rPr>
          <w:rFonts w:ascii="Palatino Linotype" w:hAnsi="Palatino Linotype" w:cs="Arial"/>
          <w:i/>
          <w:sz w:val="22"/>
          <w:szCs w:val="22"/>
          <w:lang w:eastAsia="es-MX"/>
        </w:rPr>
        <w:t>Municipios</w:t>
      </w:r>
      <w:r w:rsidRPr="00BF3B15">
        <w:rPr>
          <w:rFonts w:ascii="Palatino Linotype" w:hAnsi="Palatino Linotype" w:cs="Arial"/>
          <w:bCs/>
          <w:i/>
          <w:noProof/>
          <w:sz w:val="22"/>
          <w:szCs w:val="22"/>
        </w:rPr>
        <w:t>, con motivo de cuotas y obligaciones contraídas con éste por los servidores públicos;</w:t>
      </w:r>
    </w:p>
    <w:p w:rsidR="006C781D" w:rsidRPr="00BF3B15" w:rsidRDefault="006C781D" w:rsidP="006C781D">
      <w:pPr>
        <w:autoSpaceDE w:val="0"/>
        <w:autoSpaceDN w:val="0"/>
        <w:adjustRightInd w:val="0"/>
        <w:ind w:left="851" w:right="902"/>
        <w:jc w:val="both"/>
        <w:rPr>
          <w:rFonts w:ascii="Palatino Linotype" w:hAnsi="Palatino Linotype" w:cs="Arial"/>
          <w:b/>
          <w:bCs/>
          <w:i/>
          <w:noProof/>
          <w:sz w:val="22"/>
          <w:szCs w:val="22"/>
        </w:rPr>
      </w:pPr>
      <w:r w:rsidRPr="00BF3B15">
        <w:rPr>
          <w:rFonts w:ascii="Palatino Linotype" w:hAnsi="Palatino Linotype" w:cs="Arial"/>
          <w:b/>
          <w:bCs/>
          <w:i/>
          <w:noProof/>
          <w:sz w:val="22"/>
          <w:szCs w:val="22"/>
        </w:rPr>
        <w:t>VI. Obligaciones a cargo del servidor público con las que haya consentido</w:t>
      </w:r>
      <w:r w:rsidRPr="00BF3B15">
        <w:rPr>
          <w:rFonts w:ascii="Palatino Linotype" w:hAnsi="Palatino Linotype" w:cs="Arial"/>
          <w:bCs/>
          <w:i/>
          <w:noProof/>
          <w:sz w:val="22"/>
          <w:szCs w:val="22"/>
        </w:rPr>
        <w:t>, derivadas de la adquisición o del uso de habitaciones consideradas como de interés social;</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Cs/>
          <w:i/>
          <w:noProof/>
          <w:sz w:val="22"/>
          <w:szCs w:val="22"/>
        </w:rPr>
        <w:t xml:space="preserve">VII. Faltas de </w:t>
      </w:r>
      <w:r w:rsidRPr="00BF3B15">
        <w:rPr>
          <w:rFonts w:ascii="Palatino Linotype" w:hAnsi="Palatino Linotype" w:cs="Arial"/>
          <w:i/>
          <w:sz w:val="22"/>
          <w:szCs w:val="22"/>
          <w:lang w:eastAsia="es-MX"/>
        </w:rPr>
        <w:t>puntualidad</w:t>
      </w:r>
      <w:r w:rsidRPr="00BF3B15">
        <w:rPr>
          <w:rFonts w:ascii="Palatino Linotype" w:hAnsi="Palatino Linotype" w:cs="Arial"/>
          <w:bCs/>
          <w:i/>
          <w:noProof/>
          <w:sz w:val="22"/>
          <w:szCs w:val="22"/>
        </w:rPr>
        <w:t xml:space="preserve"> o </w:t>
      </w:r>
      <w:r w:rsidRPr="00BF3B15">
        <w:rPr>
          <w:rFonts w:ascii="Palatino Linotype" w:hAnsi="Palatino Linotype" w:cs="Arial"/>
          <w:i/>
          <w:sz w:val="22"/>
          <w:szCs w:val="22"/>
          <w:lang w:eastAsia="es-MX"/>
        </w:rPr>
        <w:t>de</w:t>
      </w:r>
      <w:r w:rsidRPr="00BF3B15">
        <w:rPr>
          <w:rFonts w:ascii="Palatino Linotype" w:hAnsi="Palatino Linotype" w:cs="Arial"/>
          <w:bCs/>
          <w:i/>
          <w:noProof/>
          <w:sz w:val="22"/>
          <w:szCs w:val="22"/>
        </w:rPr>
        <w:t xml:space="preserve"> asistencia injustificadas;</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
          <w:bCs/>
          <w:i/>
          <w:noProof/>
          <w:sz w:val="22"/>
          <w:szCs w:val="22"/>
        </w:rPr>
        <w:t>VIII. Pensiones alimenticias ordenadas por la autoridad judicial;</w:t>
      </w:r>
      <w:r w:rsidRPr="00BF3B15">
        <w:rPr>
          <w:rFonts w:ascii="Palatino Linotype" w:hAnsi="Palatino Linotype" w:cs="Arial"/>
          <w:bCs/>
          <w:i/>
          <w:noProof/>
          <w:sz w:val="22"/>
          <w:szCs w:val="22"/>
        </w:rPr>
        <w:t xml:space="preserve"> o</w:t>
      </w:r>
    </w:p>
    <w:p w:rsidR="006C781D" w:rsidRPr="00BF3B15" w:rsidRDefault="006C781D" w:rsidP="006C781D">
      <w:pPr>
        <w:autoSpaceDE w:val="0"/>
        <w:autoSpaceDN w:val="0"/>
        <w:adjustRightInd w:val="0"/>
        <w:ind w:left="851" w:right="902"/>
        <w:jc w:val="both"/>
        <w:rPr>
          <w:rFonts w:ascii="Palatino Linotype" w:hAnsi="Palatino Linotype" w:cs="Arial"/>
          <w:b/>
          <w:bCs/>
          <w:i/>
          <w:noProof/>
          <w:sz w:val="22"/>
          <w:szCs w:val="22"/>
        </w:rPr>
      </w:pPr>
      <w:r w:rsidRPr="00BF3B15">
        <w:rPr>
          <w:rFonts w:ascii="Palatino Linotype" w:hAnsi="Palatino Linotype" w:cs="Arial"/>
          <w:b/>
          <w:bCs/>
          <w:i/>
          <w:noProof/>
          <w:sz w:val="22"/>
          <w:szCs w:val="22"/>
        </w:rPr>
        <w:t>IX. Cualquier otro convenido con instituciones de servicios y aceptado por el servidor público.</w:t>
      </w:r>
    </w:p>
    <w:p w:rsidR="006C781D" w:rsidRPr="00BF3B15" w:rsidRDefault="006C781D" w:rsidP="006C781D">
      <w:pPr>
        <w:autoSpaceDE w:val="0"/>
        <w:autoSpaceDN w:val="0"/>
        <w:adjustRightInd w:val="0"/>
        <w:ind w:left="851" w:right="902"/>
        <w:jc w:val="both"/>
        <w:rPr>
          <w:rFonts w:ascii="Palatino Linotype" w:hAnsi="Palatino Linotype" w:cs="Arial"/>
          <w:sz w:val="22"/>
          <w:szCs w:val="22"/>
        </w:rPr>
      </w:pPr>
      <w:r w:rsidRPr="00BF3B15">
        <w:rPr>
          <w:rFonts w:ascii="Palatino Linotype" w:hAnsi="Palatino Linotype" w:cs="Arial"/>
          <w:bCs/>
          <w:i/>
          <w:noProof/>
          <w:sz w:val="22"/>
          <w:szCs w:val="22"/>
        </w:rPr>
        <w:t xml:space="preserve">El monto total de las retenciones, descuentos o deducciones no podrá exceder del 30% de la remuneración total, </w:t>
      </w:r>
      <w:r w:rsidRPr="00BF3B15">
        <w:rPr>
          <w:rFonts w:ascii="Palatino Linotype" w:hAnsi="Palatino Linotype" w:cs="Arial"/>
          <w:i/>
          <w:sz w:val="22"/>
          <w:szCs w:val="22"/>
          <w:lang w:eastAsia="es-MX"/>
        </w:rPr>
        <w:t>excepto</w:t>
      </w:r>
      <w:r w:rsidRPr="00BF3B15">
        <w:rPr>
          <w:rFonts w:ascii="Palatino Linotype" w:hAnsi="Palatino Linotype" w:cs="Arial"/>
          <w:bCs/>
          <w:i/>
          <w:noProof/>
          <w:sz w:val="22"/>
          <w:szCs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BF3B15">
        <w:rPr>
          <w:rFonts w:ascii="Palatino Linotype" w:hAnsi="Palatino Linotype" w:cs="Arial"/>
          <w:i/>
          <w:sz w:val="22"/>
          <w:szCs w:val="22"/>
          <w:lang w:eastAsia="es-MX"/>
        </w:rPr>
        <w:t>ajustará</w:t>
      </w:r>
      <w:r w:rsidRPr="00BF3B15">
        <w:rPr>
          <w:rFonts w:ascii="Palatino Linotype" w:hAnsi="Palatino Linotype" w:cs="Arial"/>
          <w:bCs/>
          <w:i/>
          <w:noProof/>
          <w:sz w:val="22"/>
          <w:szCs w:val="22"/>
        </w:rPr>
        <w:t xml:space="preserve"> a lo determinado por la autoridad judicial.” </w:t>
      </w:r>
    </w:p>
    <w:p w:rsidR="006C781D" w:rsidRPr="00BF3B15" w:rsidRDefault="006C781D" w:rsidP="006C781D">
      <w:pPr>
        <w:autoSpaceDE w:val="0"/>
        <w:autoSpaceDN w:val="0"/>
        <w:adjustRightInd w:val="0"/>
        <w:ind w:left="851" w:right="902"/>
        <w:jc w:val="both"/>
        <w:rPr>
          <w:rFonts w:ascii="Palatino Linotype" w:hAnsi="Palatino Linotype" w:cs="Arial"/>
          <w:sz w:val="22"/>
          <w:szCs w:val="22"/>
        </w:rPr>
      </w:pPr>
      <w:r w:rsidRPr="00BF3B15">
        <w:rPr>
          <w:rFonts w:ascii="Palatino Linotype" w:hAnsi="Palatino Linotype" w:cs="Arial"/>
          <w:sz w:val="22"/>
          <w:szCs w:val="22"/>
        </w:rPr>
        <w:t>(Énfasis añadido)</w:t>
      </w:r>
    </w:p>
    <w:p w:rsidR="006C781D" w:rsidRPr="00BF3B15" w:rsidRDefault="006C781D" w:rsidP="006C781D">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lastRenderedPageBreak/>
        <w:t xml:space="preserve">Derivado de lo anterior, la ley establece claramente cuáles son esos descuentos o gravámenes que directamente se relacionan con las obligaciones adquiridas como servidores públicos y aquéllos que </w:t>
      </w:r>
      <w:r w:rsidRPr="00BF3B15">
        <w:rPr>
          <w:rFonts w:ascii="Palatino Linotype" w:hAnsi="Palatino Linotype" w:cs="Arial"/>
          <w:b/>
        </w:rPr>
        <w:t>únicamente inciden en su vida privada</w:t>
      </w:r>
      <w:r w:rsidRPr="00BF3B15">
        <w:rPr>
          <w:rFonts w:ascii="Palatino Linotype" w:hAnsi="Palatino Linotype" w:cs="Arial"/>
        </w:rPr>
        <w:t>. De este modo, descuentos por pensiones alimenticias o créditos adquiridos con instituciones privadas o públicas pero que fueron contraídas en forma individual, son información que debe clasificarse como confidencial.</w:t>
      </w:r>
    </w:p>
    <w:p w:rsidR="006C781D" w:rsidRPr="00BF3B15" w:rsidRDefault="006C781D" w:rsidP="006C781D">
      <w:pPr>
        <w:spacing w:before="100" w:beforeAutospacing="1" w:after="100" w:afterAutospacing="1" w:line="360" w:lineRule="auto"/>
        <w:jc w:val="both"/>
        <w:rPr>
          <w:rFonts w:ascii="Palatino Linotype" w:hAnsi="Palatino Linotype" w:cs="Arial"/>
          <w:lang w:val="es-ES_tradnl"/>
        </w:rPr>
      </w:pPr>
      <w:r w:rsidRPr="00BF3B15">
        <w:rPr>
          <w:rFonts w:ascii="Palatino Linotype" w:hAnsi="Palatino Linotype" w:cs="Arial"/>
          <w:lang w:val="es-ES_tradnl"/>
        </w:rPr>
        <w:t xml:space="preserve">Por </w:t>
      </w:r>
      <w:r w:rsidRPr="00BF3B15">
        <w:rPr>
          <w:rFonts w:ascii="Palatino Linotype" w:hAnsi="Palatino Linotype" w:cs="Arial"/>
          <w:lang w:eastAsia="es-MX"/>
        </w:rPr>
        <w:t>ende</w:t>
      </w:r>
      <w:r w:rsidRPr="00BF3B15">
        <w:rPr>
          <w:rFonts w:ascii="Palatino Linotype" w:hAnsi="Palatino Linotype" w:cs="Arial"/>
          <w:lang w:val="es-ES_tradnl"/>
        </w:rPr>
        <w:t xml:space="preserve">, </w:t>
      </w:r>
      <w:r w:rsidRPr="00BF3B15">
        <w:rPr>
          <w:rFonts w:ascii="Palatino Linotype" w:hAnsi="Palatino Linotype" w:cs="Arial"/>
          <w:b/>
          <w:lang w:val="es-ES_tradnl"/>
        </w:rPr>
        <w:t>EL SUJETO OBLIGADO</w:t>
      </w:r>
      <w:r w:rsidRPr="00BF3B15">
        <w:rPr>
          <w:rFonts w:ascii="Palatino Linotype" w:hAnsi="Palatino Linotype" w:cs="Arial"/>
          <w:lang w:val="es-ES_tradnl"/>
        </w:rPr>
        <w:t xml:space="preserve"> debe testar los datos confidenciales, sin pasar por alto que la clasificación respectiva tiene </w:t>
      </w:r>
      <w:r w:rsidRPr="00BF3B15">
        <w:rPr>
          <w:rFonts w:ascii="Palatino Linotype" w:hAnsi="Palatino Linotype" w:cs="Arial"/>
        </w:rPr>
        <w:t>que</w:t>
      </w:r>
      <w:r w:rsidRPr="00BF3B15">
        <w:rPr>
          <w:rFonts w:ascii="Palatino Linotype" w:hAnsi="Palatino Linotype" w:cs="Arial"/>
          <w:lang w:val="es-ES_tradnl"/>
        </w:rPr>
        <w:t xml:space="preserve"> cumplirse a través de la forma y formalidades que la Ley impone; </w:t>
      </w:r>
      <w:r w:rsidRPr="00BF3B15">
        <w:rPr>
          <w:rFonts w:ascii="Palatino Linotype" w:hAnsi="Palatino Linotype" w:cs="Arial"/>
        </w:rPr>
        <w:t>es</w:t>
      </w:r>
      <w:r w:rsidRPr="00BF3B15">
        <w:rPr>
          <w:rFonts w:ascii="Palatino Linotype" w:hAnsi="Palatino Linotype" w:cs="Arial"/>
          <w:lang w:val="es-ES_tradnl"/>
        </w:rPr>
        <w:t xml:space="preserve"> decir, mediante Acuerdo debidamente fundado y motivado, en </w:t>
      </w:r>
      <w:r w:rsidRPr="00BF3B15">
        <w:rPr>
          <w:rFonts w:ascii="Palatino Linotype" w:hAnsi="Palatino Linotype" w:cs="Arial"/>
          <w:noProof/>
          <w:lang w:eastAsia="es-MX"/>
        </w:rPr>
        <w:t>términos</w:t>
      </w:r>
      <w:r w:rsidRPr="00BF3B15">
        <w:rPr>
          <w:rFonts w:ascii="Palatino Linotype" w:hAnsi="Palatino Linotype" w:cs="Arial"/>
          <w:lang w:val="es-ES_tradnl"/>
        </w:rPr>
        <w:t xml:space="preserve"> de los numerales 49, fracción VIII y 132, fracciones II y III de la Ley de Transparencia y Acceso a la Información Pública de</w:t>
      </w:r>
      <w:r w:rsidR="006E66D6" w:rsidRPr="00BF3B15">
        <w:rPr>
          <w:rFonts w:ascii="Palatino Linotype" w:hAnsi="Palatino Linotype" w:cs="Arial"/>
          <w:lang w:val="es-ES_tradnl"/>
        </w:rPr>
        <w:t>l Estado de México y Municipios;</w:t>
      </w:r>
      <w:r w:rsidRPr="00BF3B15">
        <w:rPr>
          <w:rFonts w:ascii="Palatino Linotype" w:hAnsi="Palatino Linotype" w:cs="Arial"/>
          <w:lang w:val="es-ES_tradnl"/>
        </w:rPr>
        <w:t xml:space="preserve"> así como</w:t>
      </w:r>
      <w:r w:rsidR="006E66D6" w:rsidRPr="00BF3B15">
        <w:rPr>
          <w:rFonts w:ascii="Palatino Linotype" w:hAnsi="Palatino Linotype" w:cs="Arial"/>
          <w:lang w:val="es-ES_tradnl"/>
        </w:rPr>
        <w:t>,</w:t>
      </w:r>
      <w:r w:rsidRPr="00BF3B15">
        <w:rPr>
          <w:rFonts w:ascii="Palatino Linotype" w:hAnsi="Palatino Linotype" w:cs="Arial"/>
          <w:lang w:val="es-ES_tradnl"/>
        </w:rPr>
        <w:t xml:space="preserve"> los numerales Segundo, fracción XVIII, y del Cuarto al Décimo Primero de los Lineamientos Generales en materia de Clasificación y Desclasificación de la Información, así como para la elaboración de Versiones Públicas, que literalmente expresan:</w:t>
      </w:r>
    </w:p>
    <w:p w:rsidR="006C781D" w:rsidRPr="00BF3B15" w:rsidRDefault="006C781D" w:rsidP="006C781D">
      <w:pPr>
        <w:ind w:left="851" w:right="902"/>
        <w:jc w:val="center"/>
        <w:rPr>
          <w:rFonts w:ascii="Palatino Linotype" w:hAnsi="Palatino Linotype" w:cs="Arial"/>
          <w:b/>
          <w:i/>
          <w:sz w:val="22"/>
          <w:szCs w:val="22"/>
        </w:rPr>
      </w:pPr>
      <w:r w:rsidRPr="00BF3B15">
        <w:rPr>
          <w:rFonts w:ascii="Palatino Linotype" w:hAnsi="Palatino Linotype" w:cs="Arial"/>
          <w:b/>
          <w:i/>
          <w:sz w:val="22"/>
          <w:szCs w:val="22"/>
        </w:rPr>
        <w:t>Ley de Transparencia y Acceso a la Información Pública del Estado de México y Municipios</w:t>
      </w:r>
    </w:p>
    <w:p w:rsidR="006C781D" w:rsidRPr="00BF3B15" w:rsidRDefault="006C781D" w:rsidP="006C781D">
      <w:pPr>
        <w:ind w:left="851" w:right="902"/>
        <w:jc w:val="center"/>
        <w:rPr>
          <w:rFonts w:ascii="Palatino Linotype" w:hAnsi="Palatino Linotype" w:cs="Arial"/>
          <w:b/>
          <w:i/>
          <w:sz w:val="22"/>
          <w:szCs w:val="22"/>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w:t>
      </w:r>
      <w:r w:rsidRPr="00BF3B15">
        <w:rPr>
          <w:rFonts w:ascii="Palatino Linotype" w:hAnsi="Palatino Linotype" w:cs="Arial"/>
          <w:b/>
          <w:i/>
          <w:sz w:val="22"/>
          <w:szCs w:val="22"/>
          <w:lang w:eastAsia="es-MX"/>
        </w:rPr>
        <w:t xml:space="preserve">Artículo 49. </w:t>
      </w:r>
      <w:r w:rsidRPr="00BF3B15">
        <w:rPr>
          <w:rFonts w:ascii="Palatino Linotype" w:hAnsi="Palatino Linotype" w:cs="Arial"/>
          <w:i/>
          <w:sz w:val="22"/>
          <w:szCs w:val="22"/>
          <w:lang w:eastAsia="es-MX"/>
        </w:rPr>
        <w:t xml:space="preserve">Los </w:t>
      </w:r>
      <w:r w:rsidRPr="00BF3B15">
        <w:rPr>
          <w:rFonts w:ascii="Palatino Linotype" w:hAnsi="Palatino Linotype" w:cs="Arial"/>
          <w:i/>
          <w:sz w:val="22"/>
          <w:szCs w:val="22"/>
        </w:rPr>
        <w:t>Comités</w:t>
      </w:r>
      <w:r w:rsidRPr="00BF3B15">
        <w:rPr>
          <w:rFonts w:ascii="Palatino Linotype" w:hAnsi="Palatino Linotype" w:cs="Arial"/>
          <w:i/>
          <w:sz w:val="22"/>
          <w:szCs w:val="22"/>
          <w:lang w:eastAsia="es-MX"/>
        </w:rPr>
        <w:t xml:space="preserve"> de Transparencia </w:t>
      </w:r>
      <w:r w:rsidRPr="00BF3B15">
        <w:rPr>
          <w:rFonts w:ascii="Palatino Linotype" w:hAnsi="Palatino Linotype"/>
          <w:i/>
          <w:sz w:val="22"/>
          <w:szCs w:val="22"/>
        </w:rPr>
        <w:t>tendrán</w:t>
      </w:r>
      <w:r w:rsidRPr="00BF3B15">
        <w:rPr>
          <w:rFonts w:ascii="Palatino Linotype" w:hAnsi="Palatino Linotype" w:cs="Arial"/>
          <w:i/>
          <w:sz w:val="22"/>
          <w:szCs w:val="22"/>
          <w:lang w:eastAsia="es-MX"/>
        </w:rPr>
        <w:t xml:space="preserve"> las siguientes atribuciones: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VIII.</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Aprobar</w:t>
      </w:r>
      <w:r w:rsidRPr="00BF3B15">
        <w:rPr>
          <w:rFonts w:ascii="Palatino Linotype" w:hAnsi="Palatino Linotype" w:cs="Arial"/>
          <w:i/>
          <w:sz w:val="22"/>
          <w:szCs w:val="22"/>
          <w:lang w:eastAsia="es-MX"/>
        </w:rPr>
        <w:t xml:space="preserve">, </w:t>
      </w:r>
      <w:r w:rsidRPr="00BF3B15">
        <w:rPr>
          <w:rFonts w:ascii="Palatino Linotype" w:hAnsi="Palatino Linotype" w:cs="Arial"/>
          <w:i/>
          <w:sz w:val="22"/>
          <w:szCs w:val="22"/>
        </w:rPr>
        <w:t>modificar</w:t>
      </w:r>
      <w:r w:rsidRPr="00BF3B15">
        <w:rPr>
          <w:rFonts w:ascii="Palatino Linotype" w:hAnsi="Palatino Linotype" w:cs="Arial"/>
          <w:i/>
          <w:sz w:val="22"/>
          <w:szCs w:val="22"/>
          <w:lang w:eastAsia="es-MX"/>
        </w:rPr>
        <w:t xml:space="preserve"> o revocar la clasificación de la información;</w:t>
      </w:r>
    </w:p>
    <w:p w:rsidR="006C781D" w:rsidRPr="00BF3B15" w:rsidRDefault="006C781D" w:rsidP="006C781D">
      <w:pPr>
        <w:autoSpaceDE w:val="0"/>
        <w:autoSpaceDN w:val="0"/>
        <w:adjustRightInd w:val="0"/>
        <w:ind w:left="851" w:right="902"/>
        <w:jc w:val="both"/>
        <w:rPr>
          <w:rFonts w:ascii="Palatino Linotype" w:hAnsi="Palatino Linotype" w:cs="Arial"/>
          <w:b/>
          <w:i/>
          <w:sz w:val="22"/>
          <w:szCs w:val="22"/>
          <w:lang w:eastAsia="es-MX"/>
        </w:rPr>
      </w:pPr>
      <w:r w:rsidRPr="00BF3B15">
        <w:rPr>
          <w:rFonts w:ascii="Palatino Linotype" w:hAnsi="Palatino Linotype" w:cs="Arial"/>
          <w:b/>
          <w:i/>
          <w:sz w:val="22"/>
          <w:szCs w:val="22"/>
          <w:lang w:eastAsia="es-MX"/>
        </w:rPr>
        <w:t>Artículo 132.</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La clasificación de la información se llevará a cabo en el momento en que:</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II.</w:t>
      </w:r>
      <w:r w:rsidRPr="00BF3B15">
        <w:rPr>
          <w:rFonts w:ascii="Palatino Linotype" w:hAnsi="Palatino Linotype" w:cs="Arial"/>
          <w:i/>
          <w:sz w:val="22"/>
          <w:szCs w:val="22"/>
          <w:lang w:eastAsia="es-MX"/>
        </w:rPr>
        <w:t xml:space="preserve"> Se determine mediante resolución de autoridad competente; o</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III</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Se generen versiones públicas para dar cumplimiento a las obligaciones de transparencia previstas en esta Ley</w:t>
      </w:r>
      <w:r w:rsidRPr="00BF3B15">
        <w:rPr>
          <w:rFonts w:ascii="Palatino Linotype" w:hAnsi="Palatino Linotype" w:cs="Arial"/>
          <w:i/>
          <w:sz w:val="22"/>
          <w:szCs w:val="22"/>
          <w:lang w:eastAsia="es-MX"/>
        </w:rPr>
        <w:t>.”</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ind w:left="851" w:right="902"/>
        <w:jc w:val="center"/>
        <w:rPr>
          <w:rFonts w:ascii="Palatino Linotype" w:hAnsi="Palatino Linotype" w:cs="Arial"/>
          <w:b/>
          <w:i/>
          <w:sz w:val="22"/>
          <w:szCs w:val="22"/>
        </w:rPr>
      </w:pPr>
      <w:r w:rsidRPr="00BF3B15">
        <w:rPr>
          <w:rFonts w:ascii="Palatino Linotype" w:hAnsi="Palatino Linotype" w:cs="Arial"/>
          <w:b/>
          <w:i/>
          <w:sz w:val="22"/>
          <w:szCs w:val="22"/>
          <w:lang w:eastAsia="es-MX"/>
        </w:rPr>
        <w:t xml:space="preserve">Lineamientos Generales en materia de Clasificación y Desclasificación de la </w:t>
      </w:r>
      <w:r w:rsidRPr="00BF3B15">
        <w:rPr>
          <w:rFonts w:ascii="Palatino Linotype" w:hAnsi="Palatino Linotype" w:cs="Arial"/>
          <w:b/>
          <w:i/>
          <w:sz w:val="22"/>
          <w:szCs w:val="22"/>
        </w:rPr>
        <w:t>Información</w:t>
      </w:r>
    </w:p>
    <w:p w:rsidR="006C781D" w:rsidRPr="00BF3B15" w:rsidRDefault="006C781D" w:rsidP="006C781D">
      <w:pPr>
        <w:ind w:left="851" w:right="902"/>
        <w:jc w:val="center"/>
        <w:rPr>
          <w:rFonts w:ascii="Palatino Linotype" w:hAnsi="Palatino Linotype" w:cs="Arial"/>
          <w:b/>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w:t>
      </w:r>
      <w:r w:rsidRPr="00BF3B15">
        <w:rPr>
          <w:rFonts w:ascii="Palatino Linotype" w:hAnsi="Palatino Linotype" w:cs="Arial"/>
          <w:b/>
          <w:i/>
          <w:sz w:val="22"/>
          <w:szCs w:val="22"/>
          <w:lang w:eastAsia="es-MX"/>
        </w:rPr>
        <w:t>Segundo.-</w:t>
      </w:r>
      <w:r w:rsidRPr="00BF3B15">
        <w:rPr>
          <w:rFonts w:ascii="Palatino Linotype" w:hAnsi="Palatino Linotype" w:cs="Arial"/>
          <w:i/>
          <w:sz w:val="22"/>
          <w:szCs w:val="22"/>
          <w:lang w:eastAsia="es-MX"/>
        </w:rPr>
        <w:t xml:space="preserve"> Para efectos de los </w:t>
      </w:r>
      <w:r w:rsidRPr="00BF3B15">
        <w:rPr>
          <w:rFonts w:ascii="Palatino Linotype" w:hAnsi="Palatino Linotype" w:cs="Arial"/>
          <w:i/>
          <w:sz w:val="22"/>
          <w:szCs w:val="22"/>
        </w:rPr>
        <w:t>presentes</w:t>
      </w:r>
      <w:r w:rsidRPr="00BF3B15">
        <w:rPr>
          <w:rFonts w:ascii="Palatino Linotype" w:hAnsi="Palatino Linotype" w:cs="Arial"/>
          <w:i/>
          <w:sz w:val="22"/>
          <w:szCs w:val="22"/>
          <w:lang w:eastAsia="es-MX"/>
        </w:rPr>
        <w:t xml:space="preserve"> Lineamientos Generales, se entenderá por:</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XVIII.</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Versión pública:</w:t>
      </w:r>
      <w:r w:rsidRPr="00BF3B15">
        <w:rPr>
          <w:rFonts w:ascii="Palatino Linotype" w:hAnsi="Palatino Linotype" w:cs="Arial"/>
          <w:i/>
          <w:sz w:val="22"/>
          <w:szCs w:val="22"/>
          <w:lang w:eastAsia="es-MX"/>
        </w:rPr>
        <w:t xml:space="preserve"> El </w:t>
      </w:r>
      <w:r w:rsidRPr="00BF3B15">
        <w:rPr>
          <w:rFonts w:ascii="Palatino Linotype" w:hAnsi="Palatino Linotype" w:cs="Arial"/>
          <w:bCs/>
          <w:i/>
          <w:noProof/>
          <w:sz w:val="22"/>
          <w:szCs w:val="22"/>
        </w:rPr>
        <w:t>documento</w:t>
      </w:r>
      <w:r w:rsidRPr="00BF3B15">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BF3B15">
        <w:rPr>
          <w:rFonts w:ascii="Palatino Linotype" w:hAnsi="Palatino Linotype" w:cs="Arial"/>
          <w:b/>
          <w:i/>
          <w:sz w:val="22"/>
          <w:szCs w:val="22"/>
          <w:lang w:eastAsia="es-MX"/>
        </w:rPr>
        <w:t>fundando y motivando la</w:t>
      </w:r>
      <w:r w:rsidRPr="00BF3B15">
        <w:rPr>
          <w:rFonts w:ascii="Palatino Linotype" w:hAnsi="Palatino Linotype" w:cs="Arial"/>
          <w:i/>
          <w:sz w:val="22"/>
          <w:szCs w:val="22"/>
          <w:lang w:eastAsia="es-MX"/>
        </w:rPr>
        <w:t xml:space="preserve"> reserva o </w:t>
      </w:r>
      <w:r w:rsidRPr="00BF3B15">
        <w:rPr>
          <w:rFonts w:ascii="Palatino Linotype" w:hAnsi="Palatino Linotype" w:cs="Arial"/>
          <w:b/>
          <w:i/>
          <w:sz w:val="22"/>
          <w:szCs w:val="22"/>
          <w:lang w:eastAsia="es-MX"/>
        </w:rPr>
        <w:t>confidencialidad</w:t>
      </w:r>
      <w:r w:rsidRPr="00BF3B15">
        <w:rPr>
          <w:rFonts w:ascii="Palatino Linotype" w:hAnsi="Palatino Linotype" w:cs="Arial"/>
          <w:i/>
          <w:sz w:val="22"/>
          <w:szCs w:val="22"/>
          <w:lang w:eastAsia="es-MX"/>
        </w:rPr>
        <w:t xml:space="preserve">, a través de la resolución que para tal efecto emita el </w:t>
      </w:r>
      <w:r w:rsidRPr="00BF3B15">
        <w:rPr>
          <w:rFonts w:ascii="Palatino Linotype" w:hAnsi="Palatino Linotype" w:cs="Arial"/>
          <w:bCs/>
          <w:i/>
          <w:noProof/>
          <w:sz w:val="22"/>
          <w:szCs w:val="22"/>
        </w:rPr>
        <w:t>Comité</w:t>
      </w:r>
      <w:r w:rsidRPr="00BF3B15">
        <w:rPr>
          <w:rFonts w:ascii="Palatino Linotype" w:hAnsi="Palatino Linotype" w:cs="Arial"/>
          <w:i/>
          <w:sz w:val="22"/>
          <w:szCs w:val="22"/>
          <w:lang w:eastAsia="es-MX"/>
        </w:rPr>
        <w:t xml:space="preserve"> de Transparencia.</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Cuarto.</w:t>
      </w:r>
      <w:r w:rsidRPr="00BF3B15">
        <w:rPr>
          <w:rFonts w:ascii="Palatino Linotype" w:hAnsi="Palatino Linotype" w:cs="Arial"/>
          <w:i/>
          <w:sz w:val="22"/>
          <w:szCs w:val="22"/>
          <w:lang w:eastAsia="es-MX"/>
        </w:rPr>
        <w:t xml:space="preserve"> </w:t>
      </w:r>
      <w:r w:rsidRPr="00BF3B15">
        <w:rPr>
          <w:rFonts w:ascii="Palatino Linotype" w:hAnsi="Palatino Linotype" w:cs="Arial"/>
          <w:b/>
          <w:i/>
          <w:sz w:val="22"/>
          <w:szCs w:val="22"/>
          <w:lang w:eastAsia="es-MX"/>
        </w:rPr>
        <w:t>Para clasificar la información como</w:t>
      </w:r>
      <w:r w:rsidRPr="00BF3B15">
        <w:rPr>
          <w:rFonts w:ascii="Palatino Linotype" w:hAnsi="Palatino Linotype" w:cs="Arial"/>
          <w:i/>
          <w:sz w:val="22"/>
          <w:szCs w:val="22"/>
          <w:lang w:eastAsia="es-MX"/>
        </w:rPr>
        <w:t xml:space="preserve"> reservada o </w:t>
      </w:r>
      <w:r w:rsidRPr="00BF3B15">
        <w:rPr>
          <w:rFonts w:ascii="Palatino Linotype" w:hAnsi="Palatino Linotype" w:cs="Arial"/>
          <w:b/>
          <w:i/>
          <w:sz w:val="22"/>
          <w:szCs w:val="22"/>
          <w:lang w:eastAsia="es-MX"/>
        </w:rPr>
        <w:t xml:space="preserve">confidencial, de manera total o parcial, el titular del </w:t>
      </w:r>
      <w:r w:rsidRPr="00BF3B15">
        <w:rPr>
          <w:rFonts w:ascii="Palatino Linotype" w:hAnsi="Palatino Linotype" w:cs="Arial"/>
          <w:b/>
          <w:bCs/>
          <w:i/>
          <w:noProof/>
          <w:sz w:val="22"/>
          <w:szCs w:val="22"/>
        </w:rPr>
        <w:t>área</w:t>
      </w:r>
      <w:r w:rsidRPr="00BF3B15">
        <w:rPr>
          <w:rFonts w:ascii="Palatino Linotype" w:hAnsi="Palatino Linotype" w:cs="Arial"/>
          <w:b/>
          <w:i/>
          <w:sz w:val="22"/>
          <w:szCs w:val="22"/>
          <w:lang w:eastAsia="es-MX"/>
        </w:rPr>
        <w:t xml:space="preserve"> del sujeto </w:t>
      </w:r>
      <w:r w:rsidRPr="00BF3B15">
        <w:rPr>
          <w:rFonts w:ascii="Palatino Linotype" w:hAnsi="Palatino Linotype" w:cs="Arial"/>
          <w:b/>
          <w:i/>
          <w:sz w:val="22"/>
          <w:szCs w:val="22"/>
        </w:rPr>
        <w:t>obligado</w:t>
      </w:r>
      <w:r w:rsidRPr="00BF3B15">
        <w:rPr>
          <w:rFonts w:ascii="Palatino Linotype" w:hAnsi="Palatino Linotype" w:cs="Arial"/>
          <w:b/>
          <w:i/>
          <w:sz w:val="22"/>
          <w:szCs w:val="22"/>
          <w:lang w:eastAsia="es-MX"/>
        </w:rPr>
        <w:t xml:space="preserve"> deberá atender lo dispuesto por el Título Sexto de la Ley General</w:t>
      </w:r>
      <w:r w:rsidRPr="00BF3B15">
        <w:rPr>
          <w:rFonts w:ascii="Palatino Linotype" w:hAnsi="Palatino Linotype" w:cs="Arial"/>
          <w:i/>
          <w:sz w:val="22"/>
          <w:szCs w:val="22"/>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Los sujetos obligados deberán aplicar, de manera estricta, las excepciones al derecho de acceso a la </w:t>
      </w:r>
      <w:r w:rsidRPr="00BF3B15">
        <w:rPr>
          <w:rFonts w:ascii="Palatino Linotype" w:hAnsi="Palatino Linotype" w:cs="Arial"/>
          <w:bCs/>
          <w:i/>
          <w:noProof/>
          <w:sz w:val="22"/>
          <w:szCs w:val="22"/>
        </w:rPr>
        <w:t>información</w:t>
      </w:r>
      <w:r w:rsidRPr="00BF3B15">
        <w:rPr>
          <w:rFonts w:ascii="Palatino Linotype" w:hAnsi="Palatino Linotype" w:cs="Arial"/>
          <w:i/>
          <w:sz w:val="22"/>
          <w:szCs w:val="22"/>
          <w:lang w:eastAsia="es-MX"/>
        </w:rPr>
        <w:t xml:space="preserve"> y sólo </w:t>
      </w:r>
      <w:r w:rsidRPr="00BF3B15">
        <w:rPr>
          <w:rFonts w:ascii="Palatino Linotype" w:hAnsi="Palatino Linotype" w:cs="Arial"/>
          <w:i/>
          <w:sz w:val="22"/>
          <w:szCs w:val="22"/>
        </w:rPr>
        <w:t>podrán</w:t>
      </w:r>
      <w:r w:rsidRPr="00BF3B15">
        <w:rPr>
          <w:rFonts w:ascii="Palatino Linotype" w:hAnsi="Palatino Linotype" w:cs="Arial"/>
          <w:i/>
          <w:sz w:val="22"/>
          <w:szCs w:val="22"/>
          <w:lang w:eastAsia="es-MX"/>
        </w:rPr>
        <w:t xml:space="preserve"> invocarlas cuando acrediten su procedencia.</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Quinto.</w:t>
      </w:r>
      <w:r w:rsidRPr="00BF3B15">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BF3B15">
        <w:rPr>
          <w:rFonts w:ascii="Palatino Linotype" w:hAnsi="Palatino Linotype" w:cs="Arial"/>
          <w:i/>
          <w:sz w:val="22"/>
          <w:szCs w:val="22"/>
        </w:rPr>
        <w:t>corresponderá</w:t>
      </w:r>
      <w:r w:rsidRPr="00BF3B15">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Sexto.</w:t>
      </w:r>
      <w:r w:rsidRPr="00BF3B15">
        <w:rPr>
          <w:rFonts w:ascii="Palatino Linotype" w:hAnsi="Palatino Linotype" w:cs="Arial"/>
          <w:i/>
          <w:sz w:val="22"/>
          <w:szCs w:val="22"/>
          <w:lang w:eastAsia="es-MX"/>
        </w:rPr>
        <w:t xml:space="preserve"> Los sujetos obligados no podrán emitir acuerdos de carácter general ni particular que clasifiquen </w:t>
      </w:r>
      <w:r w:rsidRPr="00BF3B15">
        <w:rPr>
          <w:rFonts w:ascii="Palatino Linotype" w:hAnsi="Palatino Linotype" w:cs="Arial"/>
          <w:bCs/>
          <w:i/>
          <w:noProof/>
          <w:sz w:val="22"/>
          <w:szCs w:val="22"/>
        </w:rPr>
        <w:t>documentos</w:t>
      </w:r>
      <w:r w:rsidRPr="00BF3B15">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6C781D" w:rsidRPr="00BF3B15" w:rsidRDefault="006C781D" w:rsidP="006C781D">
      <w:pPr>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La clasificación de </w:t>
      </w:r>
      <w:r w:rsidRPr="00BF3B15">
        <w:rPr>
          <w:rFonts w:ascii="Palatino Linotype" w:hAnsi="Palatino Linotype" w:cs="Arial"/>
          <w:i/>
          <w:sz w:val="22"/>
          <w:szCs w:val="22"/>
        </w:rPr>
        <w:t>información</w:t>
      </w:r>
      <w:r w:rsidRPr="00BF3B15">
        <w:rPr>
          <w:rFonts w:ascii="Palatino Linotype" w:hAnsi="Palatino Linotype" w:cs="Arial"/>
          <w:i/>
          <w:sz w:val="22"/>
          <w:szCs w:val="22"/>
          <w:lang w:eastAsia="es-MX"/>
        </w:rPr>
        <w:t xml:space="preserve"> se realizará conforme a un análisis caso por caso, mediante la aplicación </w:t>
      </w:r>
      <w:r w:rsidRPr="00BF3B15">
        <w:rPr>
          <w:rFonts w:ascii="Palatino Linotype" w:hAnsi="Palatino Linotype" w:cs="Arial"/>
          <w:bCs/>
          <w:i/>
          <w:noProof/>
          <w:sz w:val="22"/>
          <w:szCs w:val="22"/>
        </w:rPr>
        <w:t>de</w:t>
      </w:r>
      <w:r w:rsidRPr="00BF3B15">
        <w:rPr>
          <w:rFonts w:ascii="Palatino Linotype" w:hAnsi="Palatino Linotype" w:cs="Arial"/>
          <w:i/>
          <w:sz w:val="22"/>
          <w:szCs w:val="22"/>
          <w:lang w:eastAsia="es-MX"/>
        </w:rPr>
        <w:t xml:space="preserve"> la prueba de daño y de interés público.</w:t>
      </w:r>
    </w:p>
    <w:p w:rsidR="006C781D" w:rsidRPr="00BF3B15" w:rsidRDefault="006C781D" w:rsidP="006C781D">
      <w:pPr>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Séptimo.</w:t>
      </w:r>
      <w:r w:rsidRPr="00BF3B15">
        <w:rPr>
          <w:rFonts w:ascii="Palatino Linotype" w:hAnsi="Palatino Linotype" w:cs="Arial"/>
          <w:i/>
          <w:sz w:val="22"/>
          <w:szCs w:val="22"/>
          <w:lang w:eastAsia="es-MX"/>
        </w:rPr>
        <w:t xml:space="preserve"> La clasificación </w:t>
      </w:r>
      <w:r w:rsidRPr="00BF3B15">
        <w:rPr>
          <w:rFonts w:ascii="Palatino Linotype" w:hAnsi="Palatino Linotype" w:cs="Arial"/>
          <w:bCs/>
          <w:i/>
          <w:noProof/>
          <w:sz w:val="22"/>
          <w:szCs w:val="22"/>
        </w:rPr>
        <w:t>de</w:t>
      </w:r>
      <w:r w:rsidRPr="00BF3B15">
        <w:rPr>
          <w:rFonts w:ascii="Palatino Linotype" w:hAnsi="Palatino Linotype" w:cs="Arial"/>
          <w:i/>
          <w:sz w:val="22"/>
          <w:szCs w:val="22"/>
          <w:lang w:eastAsia="es-MX"/>
        </w:rPr>
        <w:t xml:space="preserve"> la </w:t>
      </w:r>
      <w:r w:rsidRPr="00BF3B15">
        <w:rPr>
          <w:rFonts w:ascii="Palatino Linotype" w:hAnsi="Palatino Linotype" w:cs="Arial"/>
          <w:i/>
          <w:sz w:val="22"/>
          <w:szCs w:val="22"/>
        </w:rPr>
        <w:t>información</w:t>
      </w:r>
      <w:r w:rsidRPr="00BF3B15">
        <w:rPr>
          <w:rFonts w:ascii="Palatino Linotype" w:hAnsi="Palatino Linotype" w:cs="Arial"/>
          <w:i/>
          <w:sz w:val="22"/>
          <w:szCs w:val="22"/>
          <w:lang w:eastAsia="es-MX"/>
        </w:rPr>
        <w:t xml:space="preserve"> se llevará a cabo en el momento en que:</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w:t>
      </w:r>
      <w:r w:rsidRPr="00BF3B15">
        <w:rPr>
          <w:rFonts w:ascii="Palatino Linotype" w:hAnsi="Palatino Linotype" w:cs="Arial"/>
          <w:i/>
          <w:sz w:val="22"/>
          <w:szCs w:val="22"/>
          <w:lang w:eastAsia="es-MX"/>
        </w:rPr>
        <w:t xml:space="preserve"> Se reciba una solicitud de acceso a la información;</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II.</w:t>
      </w:r>
      <w:r w:rsidRPr="00BF3B15">
        <w:rPr>
          <w:rFonts w:ascii="Palatino Linotype" w:hAnsi="Palatino Linotype" w:cs="Arial"/>
          <w:i/>
          <w:sz w:val="22"/>
          <w:szCs w:val="22"/>
          <w:lang w:eastAsia="es-MX"/>
        </w:rPr>
        <w:t xml:space="preserve"> Se determine </w:t>
      </w:r>
      <w:r w:rsidRPr="00BF3B15">
        <w:rPr>
          <w:rFonts w:ascii="Palatino Linotype" w:hAnsi="Palatino Linotype" w:cs="Arial"/>
          <w:bCs/>
          <w:i/>
          <w:noProof/>
          <w:sz w:val="22"/>
          <w:szCs w:val="22"/>
        </w:rPr>
        <w:t>mediante</w:t>
      </w:r>
      <w:r w:rsidRPr="00BF3B15">
        <w:rPr>
          <w:rFonts w:ascii="Palatino Linotype" w:hAnsi="Palatino Linotype" w:cs="Arial"/>
          <w:i/>
          <w:sz w:val="22"/>
          <w:szCs w:val="22"/>
          <w:lang w:eastAsia="es-MX"/>
        </w:rPr>
        <w:t xml:space="preserve"> resolución de autoridad competente, o</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III.</w:t>
      </w:r>
      <w:r w:rsidRPr="00BF3B15">
        <w:rPr>
          <w:rFonts w:ascii="Palatino Linotype" w:hAnsi="Palatino Linotype" w:cs="Arial"/>
          <w:i/>
          <w:sz w:val="22"/>
          <w:szCs w:val="22"/>
          <w:lang w:eastAsia="es-MX"/>
        </w:rPr>
        <w:t xml:space="preserve"> Se generen </w:t>
      </w:r>
      <w:r w:rsidRPr="00BF3B15">
        <w:rPr>
          <w:rFonts w:ascii="Palatino Linotype" w:hAnsi="Palatino Linotype" w:cs="Arial"/>
          <w:bCs/>
          <w:i/>
          <w:noProof/>
          <w:sz w:val="22"/>
          <w:szCs w:val="22"/>
        </w:rPr>
        <w:t>versiones</w:t>
      </w:r>
      <w:r w:rsidRPr="00BF3B15">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Los titulares de las áreas deberán revisar la clasificación al momento de la recepción de una solicitud de </w:t>
      </w:r>
      <w:r w:rsidRPr="00BF3B15">
        <w:rPr>
          <w:rFonts w:ascii="Palatino Linotype" w:hAnsi="Palatino Linotype" w:cs="Arial"/>
          <w:bCs/>
          <w:i/>
          <w:noProof/>
          <w:sz w:val="22"/>
          <w:szCs w:val="22"/>
        </w:rPr>
        <w:t>acceso</w:t>
      </w:r>
      <w:r w:rsidRPr="00BF3B15">
        <w:rPr>
          <w:rFonts w:ascii="Palatino Linotype" w:hAnsi="Palatino Linotype" w:cs="Arial"/>
          <w:i/>
          <w:sz w:val="22"/>
          <w:szCs w:val="22"/>
          <w:lang w:eastAsia="es-MX"/>
        </w:rPr>
        <w:t xml:space="preserve"> a la información, para verificar si encuadra en una causal de reserva o de confidencialidad.</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Octavo.</w:t>
      </w:r>
      <w:r w:rsidRPr="00BF3B15">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w:t>
      </w:r>
      <w:r w:rsidRPr="00BF3B15">
        <w:rPr>
          <w:rFonts w:ascii="Palatino Linotype" w:hAnsi="Palatino Linotype" w:cs="Arial"/>
          <w:bCs/>
          <w:i/>
          <w:noProof/>
          <w:sz w:val="22"/>
          <w:szCs w:val="22"/>
        </w:rPr>
        <w:t>expresamente</w:t>
      </w:r>
      <w:r w:rsidRPr="00BF3B15">
        <w:rPr>
          <w:rFonts w:ascii="Palatino Linotype" w:hAnsi="Palatino Linotype" w:cs="Arial"/>
          <w:i/>
          <w:sz w:val="22"/>
          <w:szCs w:val="22"/>
          <w:lang w:eastAsia="es-MX"/>
        </w:rPr>
        <w:t xml:space="preserve"> le otorga el carácter de reservada o confidencial.</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i/>
          <w:sz w:val="22"/>
          <w:szCs w:val="22"/>
          <w:lang w:eastAsia="es-MX"/>
        </w:rPr>
        <w:t xml:space="preserve">Para </w:t>
      </w:r>
      <w:r w:rsidRPr="00BF3B15">
        <w:rPr>
          <w:rFonts w:ascii="Palatino Linotype" w:hAnsi="Palatino Linotype" w:cs="Arial"/>
          <w:bCs/>
          <w:i/>
          <w:noProof/>
          <w:sz w:val="22"/>
          <w:szCs w:val="22"/>
        </w:rPr>
        <w:t xml:space="preserve">motivar la clasificación se deberán señalar las razones o circunstancias especiales que lo </w:t>
      </w:r>
      <w:r w:rsidRPr="00BF3B15">
        <w:rPr>
          <w:rFonts w:ascii="Palatino Linotype" w:hAnsi="Palatino Linotype" w:cs="Arial"/>
          <w:i/>
          <w:sz w:val="22"/>
          <w:szCs w:val="22"/>
          <w:lang w:eastAsia="es-MX"/>
        </w:rPr>
        <w:t>llevaron</w:t>
      </w:r>
      <w:r w:rsidRPr="00BF3B15">
        <w:rPr>
          <w:rFonts w:ascii="Palatino Linotype" w:hAnsi="Palatino Linotype" w:cs="Arial"/>
          <w:bCs/>
          <w:i/>
          <w:noProof/>
          <w:sz w:val="22"/>
          <w:szCs w:val="22"/>
        </w:rPr>
        <w:t xml:space="preserve"> a concluir que el caso particular se ajusta al supuesto previsto por la norma legal invocada como fundamento.</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BF3B15">
        <w:rPr>
          <w:rFonts w:ascii="Palatino Linotype" w:hAnsi="Palatino Linotype" w:cs="Arial"/>
          <w:i/>
          <w:sz w:val="22"/>
          <w:szCs w:val="22"/>
          <w:lang w:eastAsia="es-MX"/>
        </w:rPr>
        <w:t>de</w:t>
      </w:r>
      <w:r w:rsidRPr="00BF3B15">
        <w:rPr>
          <w:rFonts w:ascii="Palatino Linotype" w:hAnsi="Palatino Linotype" w:cs="Arial"/>
          <w:bCs/>
          <w:i/>
          <w:noProof/>
          <w:sz w:val="22"/>
          <w:szCs w:val="22"/>
        </w:rPr>
        <w:t xml:space="preserve"> </w:t>
      </w:r>
      <w:r w:rsidRPr="00BF3B15">
        <w:rPr>
          <w:rFonts w:ascii="Palatino Linotype" w:hAnsi="Palatino Linotype" w:cs="Arial"/>
          <w:i/>
          <w:sz w:val="22"/>
          <w:szCs w:val="22"/>
          <w:lang w:eastAsia="es-MX"/>
        </w:rPr>
        <w:t>reserva</w:t>
      </w:r>
      <w:r w:rsidRPr="00BF3B15">
        <w:rPr>
          <w:rFonts w:ascii="Palatino Linotype" w:hAnsi="Palatino Linotype" w:cs="Arial"/>
          <w:bCs/>
          <w:i/>
          <w:noProof/>
          <w:sz w:val="22"/>
          <w:szCs w:val="22"/>
        </w:rPr>
        <w:t>.</w:t>
      </w:r>
    </w:p>
    <w:p w:rsidR="006C781D" w:rsidRPr="00BF3B15" w:rsidRDefault="006C781D" w:rsidP="006C781D">
      <w:pPr>
        <w:autoSpaceDE w:val="0"/>
        <w:autoSpaceDN w:val="0"/>
        <w:adjustRightInd w:val="0"/>
        <w:ind w:left="851" w:right="902"/>
        <w:jc w:val="both"/>
        <w:rPr>
          <w:rFonts w:ascii="Palatino Linotype" w:hAnsi="Palatino Linotype" w:cs="Arial"/>
          <w:bCs/>
          <w:i/>
          <w:noProof/>
          <w:sz w:val="22"/>
          <w:szCs w:val="22"/>
        </w:rPr>
      </w:pPr>
      <w:r w:rsidRPr="00BF3B15">
        <w:rPr>
          <w:rFonts w:ascii="Palatino Linotype" w:hAnsi="Palatino Linotype" w:cs="Arial"/>
          <w:i/>
          <w:sz w:val="22"/>
          <w:szCs w:val="22"/>
          <w:lang w:eastAsia="es-MX"/>
        </w:rPr>
        <w:t>Tratándose</w:t>
      </w:r>
      <w:r w:rsidRPr="00BF3B15">
        <w:rPr>
          <w:rFonts w:ascii="Palatino Linotype" w:hAnsi="Palatino Linotype" w:cs="Arial"/>
          <w:bCs/>
          <w:i/>
          <w:noProof/>
          <w:sz w:val="22"/>
          <w:szCs w:val="22"/>
        </w:rPr>
        <w:t xml:space="preserve"> de información clasificada como confidencial respecto de la cual se haya </w:t>
      </w:r>
      <w:r w:rsidRPr="00BF3B15">
        <w:rPr>
          <w:rFonts w:ascii="Palatino Linotype" w:hAnsi="Palatino Linotype" w:cs="Arial"/>
          <w:i/>
          <w:sz w:val="22"/>
          <w:szCs w:val="22"/>
          <w:lang w:eastAsia="es-MX"/>
        </w:rPr>
        <w:t>determinado</w:t>
      </w:r>
      <w:r w:rsidRPr="00BF3B15">
        <w:rPr>
          <w:rFonts w:ascii="Palatino Linotype" w:hAnsi="Palatino Linotype" w:cs="Arial"/>
          <w:bCs/>
          <w:i/>
          <w:noProof/>
          <w:sz w:val="22"/>
          <w:szCs w:val="22"/>
        </w:rPr>
        <w:t xml:space="preserve"> </w:t>
      </w:r>
      <w:r w:rsidRPr="00BF3B15">
        <w:rPr>
          <w:rFonts w:ascii="Palatino Linotype" w:hAnsi="Palatino Linotype" w:cs="Arial"/>
          <w:i/>
          <w:sz w:val="22"/>
          <w:szCs w:val="22"/>
          <w:lang w:eastAsia="es-MX"/>
        </w:rPr>
        <w:t>su</w:t>
      </w:r>
      <w:r w:rsidRPr="00BF3B15">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Cs/>
          <w:i/>
          <w:noProof/>
          <w:sz w:val="22"/>
          <w:szCs w:val="22"/>
        </w:rPr>
        <w:t>Los documentos contenidos</w:t>
      </w:r>
      <w:r w:rsidRPr="00BF3B15">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Noveno.</w:t>
      </w:r>
      <w:r w:rsidRPr="00BF3B15">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Décimo.</w:t>
      </w:r>
      <w:r w:rsidRPr="00BF3B15">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BF3B15">
        <w:rPr>
          <w:rFonts w:ascii="Palatino Linotype" w:hAnsi="Palatino Linotype" w:cs="Arial"/>
          <w:i/>
          <w:sz w:val="22"/>
          <w:szCs w:val="22"/>
        </w:rPr>
        <w:t>documentos</w:t>
      </w:r>
      <w:r w:rsidRPr="00BF3B15">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BF3B15">
        <w:rPr>
          <w:rFonts w:ascii="Palatino Linotype" w:hAnsi="Palatino Linotype" w:cs="Arial"/>
          <w:i/>
          <w:sz w:val="22"/>
          <w:szCs w:val="22"/>
        </w:rPr>
        <w:t>que</w:t>
      </w:r>
      <w:r w:rsidRPr="00BF3B15">
        <w:rPr>
          <w:rFonts w:ascii="Palatino Linotype" w:hAnsi="Palatino Linotype" w:cs="Arial"/>
          <w:i/>
          <w:sz w:val="22"/>
          <w:szCs w:val="22"/>
          <w:lang w:eastAsia="es-MX"/>
        </w:rPr>
        <w:t xml:space="preserve"> rija la actuación del sujeto obligado.</w:t>
      </w: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p>
    <w:p w:rsidR="006C781D" w:rsidRPr="00BF3B15" w:rsidRDefault="006C781D" w:rsidP="006C781D">
      <w:pPr>
        <w:autoSpaceDE w:val="0"/>
        <w:autoSpaceDN w:val="0"/>
        <w:adjustRightInd w:val="0"/>
        <w:ind w:left="851" w:right="902"/>
        <w:jc w:val="both"/>
        <w:rPr>
          <w:rFonts w:ascii="Palatino Linotype" w:hAnsi="Palatino Linotype" w:cs="Arial"/>
          <w:i/>
          <w:sz w:val="22"/>
          <w:szCs w:val="22"/>
          <w:lang w:eastAsia="es-MX"/>
        </w:rPr>
      </w:pPr>
      <w:r w:rsidRPr="00BF3B15">
        <w:rPr>
          <w:rFonts w:ascii="Palatino Linotype" w:hAnsi="Palatino Linotype" w:cs="Arial"/>
          <w:b/>
          <w:i/>
          <w:sz w:val="22"/>
          <w:szCs w:val="22"/>
          <w:lang w:eastAsia="es-MX"/>
        </w:rPr>
        <w:t>Décimo primero.</w:t>
      </w:r>
      <w:r w:rsidRPr="00BF3B15">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6C781D" w:rsidRPr="00BF3B15" w:rsidRDefault="006C781D" w:rsidP="006C781D">
      <w:pPr>
        <w:ind w:left="851" w:right="902"/>
        <w:jc w:val="both"/>
        <w:rPr>
          <w:rFonts w:ascii="Palatino Linotype" w:hAnsi="Palatino Linotype" w:cs="Arial"/>
          <w:sz w:val="22"/>
          <w:szCs w:val="22"/>
          <w:lang w:eastAsia="es-MX"/>
        </w:rPr>
      </w:pPr>
      <w:r w:rsidRPr="00BF3B15">
        <w:rPr>
          <w:rFonts w:ascii="Palatino Linotype" w:hAnsi="Palatino Linotype" w:cs="Arial"/>
          <w:sz w:val="22"/>
          <w:szCs w:val="22"/>
          <w:lang w:eastAsia="es-MX"/>
        </w:rPr>
        <w:t>(Énfasis Añadido)</w:t>
      </w:r>
    </w:p>
    <w:p w:rsidR="006C781D" w:rsidRPr="00BF3B15" w:rsidRDefault="006C781D" w:rsidP="006C781D">
      <w:pPr>
        <w:spacing w:before="100" w:beforeAutospacing="1" w:after="100" w:afterAutospacing="1" w:line="360" w:lineRule="auto"/>
        <w:jc w:val="both"/>
        <w:rPr>
          <w:rFonts w:ascii="Palatino Linotype" w:hAnsi="Palatino Linotype" w:cs="Arial"/>
        </w:rPr>
      </w:pPr>
      <w:r w:rsidRPr="00BF3B15">
        <w:rPr>
          <w:rFonts w:ascii="Palatino Linotype" w:hAnsi="Palatino Linotype"/>
        </w:rPr>
        <w:t xml:space="preserve">Es importante referir que, </w:t>
      </w:r>
      <w:r w:rsidRPr="00BF3B15">
        <w:rPr>
          <w:rFonts w:ascii="Palatino Linotype" w:hAnsi="Palatino Linotype"/>
          <w:b/>
        </w:rPr>
        <w:t>EL SUJETO OBLIGADO</w:t>
      </w:r>
      <w:r w:rsidRPr="00BF3B15">
        <w:rPr>
          <w:rFonts w:ascii="Palatino Linotype" w:hAnsi="Palatino Linotype"/>
        </w:rPr>
        <w:t xml:space="preserve"> deberá seguir el procedimiento legal establecido para su </w:t>
      </w:r>
      <w:r w:rsidRPr="00BF3B15">
        <w:rPr>
          <w:rFonts w:ascii="Palatino Linotype" w:hAnsi="Palatino Linotype"/>
          <w:lang w:eastAsia="es-MX"/>
        </w:rPr>
        <w:t>clasificación</w:t>
      </w:r>
      <w:r w:rsidRPr="00BF3B15">
        <w:rPr>
          <w:rFonts w:ascii="Palatino Linotype" w:hAnsi="Palatino Linotype"/>
        </w:rPr>
        <w:t>, esto es, que su Comité de</w:t>
      </w:r>
      <w:r w:rsidRPr="00BF3B15">
        <w:rPr>
          <w:rFonts w:ascii="Palatino Linotype" w:hAnsi="Palatino Linotype" w:cs="Arial"/>
        </w:rPr>
        <w:t xml:space="preserve"> Transparencia emita </w:t>
      </w:r>
      <w:r w:rsidRPr="00BF3B15">
        <w:rPr>
          <w:rFonts w:ascii="Palatino Linotype" w:hAnsi="Palatino Linotype" w:cs="Arial"/>
        </w:rPr>
        <w:lastRenderedPageBreak/>
        <w:t>un Acuerdo de Clasificación que cumpla con las formalidades previstas, antes citadas</w:t>
      </w:r>
      <w:r w:rsidRPr="00BF3B15">
        <w:rPr>
          <w:rFonts w:ascii="Palatino Linotype" w:hAnsi="Palatino Linotype" w:cs="Arial"/>
          <w:b/>
        </w:rPr>
        <w:t xml:space="preserve"> </w:t>
      </w:r>
      <w:r w:rsidRPr="00BF3B15">
        <w:rPr>
          <w:rFonts w:ascii="Palatino Linotype" w:hAnsi="Palatino Linotype" w:cs="Arial"/>
        </w:rPr>
        <w:t xml:space="preserve">que lo sustente, en el </w:t>
      </w:r>
      <w:r w:rsidRPr="00BF3B15">
        <w:rPr>
          <w:rFonts w:ascii="Palatino Linotype" w:hAnsi="Palatino Linotype" w:cs="Arial"/>
          <w:lang w:eastAsia="es-MX"/>
        </w:rPr>
        <w:t>que</w:t>
      </w:r>
      <w:r w:rsidRPr="00BF3B15">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FA3B5E" w:rsidRPr="00BF3B15" w:rsidRDefault="00FA3B5E" w:rsidP="00FA3B5E">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rPr>
        <w:t xml:space="preserve">No pasa desapercibido para este Instituto que, en el inventario general de bienes muebles e inventario general de bienes muebles de bajo costo, puede obrar información </w:t>
      </w:r>
      <w:r w:rsidR="006E4727" w:rsidRPr="00BF3B15">
        <w:rPr>
          <w:rFonts w:ascii="Palatino Linotype" w:hAnsi="Palatino Linotype" w:cs="Arial"/>
        </w:rPr>
        <w:t>que</w:t>
      </w:r>
      <w:r w:rsidR="000A7A39" w:rsidRPr="00BF3B15">
        <w:rPr>
          <w:rFonts w:ascii="Palatino Linotype" w:hAnsi="Palatino Linotype" w:cs="Arial"/>
        </w:rPr>
        <w:t>,</w:t>
      </w:r>
      <w:r w:rsidR="006E4727" w:rsidRPr="00BF3B15">
        <w:rPr>
          <w:rFonts w:ascii="Palatino Linotype" w:hAnsi="Palatino Linotype" w:cs="Arial"/>
        </w:rPr>
        <w:t xml:space="preserve"> como bien lo señaló </w:t>
      </w:r>
      <w:r w:rsidR="006E4727" w:rsidRPr="00BF3B15">
        <w:rPr>
          <w:rFonts w:ascii="Palatino Linotype" w:hAnsi="Palatino Linotype" w:cs="Arial"/>
          <w:b/>
        </w:rPr>
        <w:t xml:space="preserve">EL SUJETO OBLIGADO </w:t>
      </w:r>
      <w:r w:rsidR="006E4727" w:rsidRPr="00BF3B15">
        <w:rPr>
          <w:rFonts w:ascii="Palatino Linotype" w:hAnsi="Palatino Linotype" w:cs="Arial"/>
        </w:rPr>
        <w:t>en su respuesta podría revelar el estado de fuerza y la capacidad de reacción del Municipio; sin embargo, dicha información pudo haber sido entregada</w:t>
      </w:r>
      <w:r w:rsidR="00EA713C" w:rsidRPr="00BF3B15">
        <w:rPr>
          <w:rFonts w:ascii="Palatino Linotype" w:hAnsi="Palatino Linotype" w:cs="Arial"/>
        </w:rPr>
        <w:t>,</w:t>
      </w:r>
      <w:r w:rsidR="006E4727" w:rsidRPr="00BF3B15">
        <w:rPr>
          <w:rFonts w:ascii="Palatino Linotype" w:hAnsi="Palatino Linotype" w:cs="Arial"/>
        </w:rPr>
        <w:t xml:space="preserve"> a través de la correcta versión pública de los documentos que la contuvieran;</w:t>
      </w:r>
      <w:r w:rsidR="00021D05" w:rsidRPr="00BF3B15">
        <w:rPr>
          <w:rFonts w:ascii="Palatino Linotype" w:hAnsi="Palatino Linotype" w:cs="Arial"/>
        </w:rPr>
        <w:t xml:space="preserve"> es decir, testa</w:t>
      </w:r>
      <w:r w:rsidR="00C90D52" w:rsidRPr="00BF3B15">
        <w:rPr>
          <w:rFonts w:ascii="Palatino Linotype" w:hAnsi="Palatino Linotype" w:cs="Arial"/>
        </w:rPr>
        <w:t xml:space="preserve">ndo el nombre del servidor que resguarda el bien mueble, pues se considera que con la entrega de los inventarios se colma el derecho de acceso a la información pública de la particular y no se revela el estado de fuerza ni la capacidad de reacción del Municipio, ya que, en las documentales ordenadas se encuentran todos los vehículos y los bienes muebles bajo el reguardo de personal </w:t>
      </w:r>
      <w:r w:rsidR="00CF29DA" w:rsidRPr="00BF3B15">
        <w:rPr>
          <w:rFonts w:ascii="Palatino Linotype" w:hAnsi="Palatino Linotype" w:cs="Arial"/>
        </w:rPr>
        <w:t xml:space="preserve">tanto operativo como administrativo; por ello, su entrega se deberá hacer de conformidad con </w:t>
      </w:r>
      <w:r w:rsidRPr="00BF3B15">
        <w:rPr>
          <w:rFonts w:ascii="Palatino Linotype" w:hAnsi="Palatino Linotype" w:cs="Arial"/>
        </w:rPr>
        <w:t>lo que dispone el artículo 137 de la Ley de Transparencia y Acceso a la Información Pública de</w:t>
      </w:r>
      <w:r w:rsidR="00CF29DA" w:rsidRPr="00BF3B15">
        <w:rPr>
          <w:rFonts w:ascii="Palatino Linotype" w:hAnsi="Palatino Linotype" w:cs="Arial"/>
        </w:rPr>
        <w:t>l Estado de México y Municipios.</w:t>
      </w:r>
    </w:p>
    <w:p w:rsidR="00FA3B5E" w:rsidRPr="00BF3B15" w:rsidRDefault="00FA3B5E" w:rsidP="00FA3B5E">
      <w:pPr>
        <w:spacing w:before="240" w:after="360" w:line="360" w:lineRule="auto"/>
        <w:ind w:right="49"/>
        <w:jc w:val="both"/>
        <w:rPr>
          <w:rFonts w:ascii="Palatino Linotype" w:hAnsi="Palatino Linotype" w:cs="Arial"/>
        </w:rPr>
      </w:pPr>
      <w:r w:rsidRPr="00BF3B15">
        <w:rPr>
          <w:rFonts w:ascii="Palatino Linotype" w:hAnsi="Palatino Linotype" w:cs="Arial"/>
        </w:rPr>
        <w:lastRenderedPageBreak/>
        <w:t xml:space="preserve">Asimismo, la postura mencionada en el párrafo precedente, ha sido adoptada por el entonces Instituto Federal de Acceso a la Información y Protección de Datos en el Primer Seminario de Transparencia Proactiva: Primeros Resultados, realizado el dieciocho de octubre de dos mil doce, en las instalaciones de la Comisión Federal de Telecomunicaciones </w:t>
      </w:r>
      <w:r w:rsidR="00EA713C" w:rsidRPr="00BF3B15">
        <w:rPr>
          <w:rFonts w:ascii="Palatino Linotype" w:hAnsi="Palatino Linotype" w:cs="Arial"/>
        </w:rPr>
        <w:t>donde quedó</w:t>
      </w:r>
      <w:r w:rsidRPr="00BF3B15">
        <w:rPr>
          <w:rFonts w:ascii="Palatino Linotype" w:hAnsi="Palatino Linotype" w:cs="Arial"/>
        </w:rPr>
        <w:t xml:space="preserve"> establecido que respecto de cuestionamientos referente a: ¿Cuál es el estado de fuerza del país respecto de policías?, ¿Cuántos policías federales hay?, ¿Cuántos policías estatales hay? y ¿Cuántos policías municipales existen?, sólo podían darse datos generales para evitar revelar el estado de fuerza y la capacidad de reacción de los Municipios, Entidades Federativas y la Federación.</w:t>
      </w:r>
    </w:p>
    <w:p w:rsidR="003E5ABB" w:rsidRPr="00BF3B15" w:rsidRDefault="006E4727" w:rsidP="003E5ABB">
      <w:pPr>
        <w:spacing w:before="240" w:after="240" w:line="360" w:lineRule="auto"/>
        <w:jc w:val="both"/>
        <w:rPr>
          <w:rFonts w:ascii="Palatino Linotype" w:hAnsi="Palatino Linotype"/>
        </w:rPr>
      </w:pPr>
      <w:r w:rsidRPr="00BF3B15">
        <w:rPr>
          <w:rFonts w:ascii="Palatino Linotype" w:hAnsi="Palatino Linotype"/>
        </w:rPr>
        <w:t xml:space="preserve">Por lo tanto, derivado de que las razones o motivos de inconformidad </w:t>
      </w:r>
      <w:r w:rsidR="003E5ABB" w:rsidRPr="00BF3B15">
        <w:rPr>
          <w:rFonts w:ascii="Palatino Linotype" w:hAnsi="Palatino Linotype"/>
        </w:rPr>
        <w:t xml:space="preserve">expuestas por la hoy </w:t>
      </w:r>
      <w:r w:rsidR="003E5ABB" w:rsidRPr="00BF3B15">
        <w:rPr>
          <w:rFonts w:ascii="Palatino Linotype" w:hAnsi="Palatino Linotype"/>
          <w:b/>
        </w:rPr>
        <w:t xml:space="preserve">RECURRENTE </w:t>
      </w:r>
      <w:r w:rsidR="003E5ABB" w:rsidRPr="00BF3B15">
        <w:rPr>
          <w:rFonts w:ascii="Palatino Linotype" w:hAnsi="Palatino Linotype"/>
        </w:rPr>
        <w:t xml:space="preserve">devienen </w:t>
      </w:r>
      <w:r w:rsidR="003E5ABB" w:rsidRPr="00BF3B15">
        <w:rPr>
          <w:rFonts w:ascii="Palatino Linotype" w:hAnsi="Palatino Linotype"/>
          <w:b/>
        </w:rPr>
        <w:t xml:space="preserve">fundadas </w:t>
      </w:r>
      <w:r w:rsidR="003E5ABB" w:rsidRPr="00BF3B15">
        <w:rPr>
          <w:rFonts w:ascii="Palatino Linotype" w:hAnsi="Palatino Linotype" w:cs="Arial"/>
        </w:rPr>
        <w:t>esta Ponencia Resolutora, en términos de los artículo</w:t>
      </w:r>
      <w:r w:rsidR="006C781D" w:rsidRPr="00BF3B15">
        <w:rPr>
          <w:rFonts w:ascii="Palatino Linotype" w:hAnsi="Palatino Linotype" w:cs="Arial"/>
        </w:rPr>
        <w:t xml:space="preserve">s 179, fracción II </w:t>
      </w:r>
      <w:r w:rsidR="003E5ABB" w:rsidRPr="00BF3B15">
        <w:rPr>
          <w:rFonts w:ascii="Palatino Linotype" w:hAnsi="Palatino Linotype" w:cs="Arial"/>
        </w:rPr>
        <w:t>y</w:t>
      </w:r>
      <w:r w:rsidR="006C781D" w:rsidRPr="00BF3B15">
        <w:rPr>
          <w:rFonts w:ascii="Palatino Linotype" w:hAnsi="Palatino Linotype" w:cs="Arial"/>
        </w:rPr>
        <w:t xml:space="preserve"> 186, fracción IV</w:t>
      </w:r>
      <w:r w:rsidR="003E5ABB" w:rsidRPr="00BF3B15">
        <w:rPr>
          <w:rFonts w:ascii="Palatino Linotype" w:hAnsi="Palatino Linotype" w:cs="Arial"/>
        </w:rPr>
        <w:t xml:space="preserve"> de la Ley de Transparencia y Acceso a la Información Pública del</w:t>
      </w:r>
      <w:r w:rsidR="006D2250" w:rsidRPr="00BF3B15">
        <w:rPr>
          <w:rFonts w:ascii="Palatino Linotype" w:hAnsi="Palatino Linotype" w:cs="Arial"/>
        </w:rPr>
        <w:t xml:space="preserve"> Estado de México y Municipios </w:t>
      </w:r>
      <w:r w:rsidR="003E5ABB" w:rsidRPr="00BF3B15">
        <w:rPr>
          <w:rFonts w:ascii="Palatino Linotype" w:hAnsi="Palatino Linotype" w:cs="Arial"/>
        </w:rPr>
        <w:t xml:space="preserve">determina </w:t>
      </w:r>
      <w:r w:rsidR="003E5ABB" w:rsidRPr="00BF3B15">
        <w:rPr>
          <w:rFonts w:ascii="Palatino Linotype" w:hAnsi="Palatino Linotype"/>
          <w:b/>
        </w:rPr>
        <w:t xml:space="preserve">REVOCAR </w:t>
      </w:r>
      <w:r w:rsidR="003E5ABB" w:rsidRPr="00BF3B15">
        <w:rPr>
          <w:rFonts w:ascii="Palatino Linotype" w:hAnsi="Palatino Linotype" w:cs="Arial"/>
        </w:rPr>
        <w:t xml:space="preserve">la respuesta del </w:t>
      </w:r>
      <w:r w:rsidR="003E5ABB" w:rsidRPr="00BF3B15">
        <w:rPr>
          <w:rFonts w:ascii="Palatino Linotype" w:hAnsi="Palatino Linotype" w:cs="Arial"/>
          <w:b/>
        </w:rPr>
        <w:t>SUJETO OBLIGADO</w:t>
      </w:r>
      <w:r w:rsidR="003E5ABB" w:rsidRPr="00BF3B15">
        <w:rPr>
          <w:rFonts w:ascii="Palatino Linotype" w:hAnsi="Palatino Linotype" w:cs="Arial"/>
        </w:rPr>
        <w:t xml:space="preserve"> y hacer entrega a</w:t>
      </w:r>
      <w:r w:rsidR="006C781D" w:rsidRPr="00BF3B15">
        <w:rPr>
          <w:rFonts w:ascii="Palatino Linotype" w:hAnsi="Palatino Linotype" w:cs="Arial"/>
        </w:rPr>
        <w:t xml:space="preserve"> </w:t>
      </w:r>
      <w:r w:rsidR="003E5ABB" w:rsidRPr="00BF3B15">
        <w:rPr>
          <w:rFonts w:ascii="Palatino Linotype" w:hAnsi="Palatino Linotype" w:cs="Arial"/>
        </w:rPr>
        <w:t>l</w:t>
      </w:r>
      <w:r w:rsidR="006C781D" w:rsidRPr="00BF3B15">
        <w:rPr>
          <w:rFonts w:ascii="Palatino Linotype" w:hAnsi="Palatino Linotype" w:cs="Arial"/>
        </w:rPr>
        <w:t>a hoy</w:t>
      </w:r>
      <w:r w:rsidR="003E5ABB" w:rsidRPr="00BF3B15">
        <w:rPr>
          <w:rFonts w:ascii="Palatino Linotype" w:hAnsi="Palatino Linotype" w:cs="Arial"/>
        </w:rPr>
        <w:t xml:space="preserve"> </w:t>
      </w:r>
      <w:r w:rsidR="003E5ABB" w:rsidRPr="00BF3B15">
        <w:rPr>
          <w:rFonts w:ascii="Palatino Linotype" w:hAnsi="Palatino Linotype" w:cs="Arial"/>
          <w:b/>
        </w:rPr>
        <w:t>RECURRENTE</w:t>
      </w:r>
      <w:r w:rsidR="003E5ABB" w:rsidRPr="00BF3B15">
        <w:rPr>
          <w:rFonts w:ascii="Palatino Linotype" w:hAnsi="Palatino Linotype" w:cs="Arial"/>
        </w:rPr>
        <w:t xml:space="preserve"> </w:t>
      </w:r>
      <w:r w:rsidR="00EA713C" w:rsidRPr="00BF3B15">
        <w:rPr>
          <w:rFonts w:ascii="Palatino Linotype" w:hAnsi="Palatino Linotype" w:cs="Arial"/>
        </w:rPr>
        <w:t xml:space="preserve">de </w:t>
      </w:r>
      <w:r w:rsidR="003E5ABB" w:rsidRPr="00BF3B15">
        <w:rPr>
          <w:rFonts w:ascii="Palatino Linotype" w:hAnsi="Palatino Linotype" w:cs="Arial"/>
        </w:rPr>
        <w:t>la información que ha quedado precisada.</w:t>
      </w:r>
    </w:p>
    <w:p w:rsidR="003E5ABB" w:rsidRPr="00BF3B15" w:rsidRDefault="00CF29DA" w:rsidP="003E5ABB">
      <w:pPr>
        <w:spacing w:before="100" w:beforeAutospacing="1" w:after="100" w:afterAutospacing="1" w:line="360" w:lineRule="auto"/>
        <w:jc w:val="both"/>
        <w:rPr>
          <w:rFonts w:ascii="Palatino Linotype" w:eastAsia="Calibri" w:hAnsi="Palatino Linotype" w:cs="Arial"/>
        </w:rPr>
      </w:pPr>
      <w:r w:rsidRPr="00BF3B15">
        <w:rPr>
          <w:rFonts w:ascii="Palatino Linotype" w:eastAsia="Calibri" w:hAnsi="Palatino Linotype" w:cs="Arial"/>
          <w:noProof/>
          <w:lang w:eastAsia="es-MX"/>
        </w:rPr>
        <mc:AlternateContent>
          <mc:Choice Requires="wps">
            <w:drawing>
              <wp:anchor distT="0" distB="0" distL="114300" distR="114300" simplePos="0" relativeHeight="251675648" behindDoc="0" locked="0" layoutInCell="1" allowOverlap="1">
                <wp:simplePos x="0" y="0"/>
                <wp:positionH relativeFrom="column">
                  <wp:posOffset>66829</wp:posOffset>
                </wp:positionH>
                <wp:positionV relativeFrom="paragraph">
                  <wp:posOffset>1476467</wp:posOffset>
                </wp:positionV>
                <wp:extent cx="5718964" cy="1094108"/>
                <wp:effectExtent l="19050" t="19050" r="34290" b="29845"/>
                <wp:wrapNone/>
                <wp:docPr id="38" name="Conector recto 38"/>
                <wp:cNvGraphicFramePr/>
                <a:graphic xmlns:a="http://schemas.openxmlformats.org/drawingml/2006/main">
                  <a:graphicData uri="http://schemas.microsoft.com/office/word/2010/wordprocessingShape">
                    <wps:wsp>
                      <wps:cNvCnPr/>
                      <wps:spPr>
                        <a:xfrm>
                          <a:off x="0" y="0"/>
                          <a:ext cx="5718964" cy="109410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9A0AD0" id="Conector recto 3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5.25pt,116.25pt" to="455.55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" strokecolor="#5b9bd5 [3204]" strokeweight="2.25pt">
                <v:stroke joinstyle="miter"/>
              </v:line>
            </w:pict>
          </mc:Fallback>
        </mc:AlternateContent>
      </w:r>
      <w:r w:rsidR="003E5ABB" w:rsidRPr="00BF3B15">
        <w:rPr>
          <w:rFonts w:ascii="Palatino Linotype" w:eastAsia="Calibri" w:hAnsi="Palatino Linotype" w:cs="Arial"/>
        </w:rPr>
        <w:t xml:space="preserve">Así, con fundamento en lo prescrito en los artículos 5 párrafos </w:t>
      </w:r>
      <w:r w:rsidR="003E5ABB" w:rsidRPr="00BF3B15">
        <w:rPr>
          <w:rFonts w:ascii="Palatino Linotype" w:hAnsi="Palatino Linotype"/>
        </w:rPr>
        <w:t xml:space="preserve">vigésimo, vigésimo primero y vigésimo segundo, fracciones IV y V </w:t>
      </w:r>
      <w:r w:rsidR="003E5ABB" w:rsidRPr="00BF3B15">
        <w:rPr>
          <w:rFonts w:ascii="Palatino Linotype" w:eastAsia="Calibri" w:hAnsi="Palatino Linotype" w:cs="Arial"/>
        </w:rPr>
        <w:t xml:space="preserve">de la Constitución Política del Estado Libre y Soberano de México; </w:t>
      </w:r>
      <w:r w:rsidR="003E5ABB" w:rsidRPr="00BF3B15">
        <w:rPr>
          <w:rFonts w:ascii="Palatino Linotype" w:hAnsi="Palatino Linotype" w:cs="Arial"/>
        </w:rPr>
        <w:t>2</w:t>
      </w:r>
      <w:r w:rsidR="006D2250" w:rsidRPr="00BF3B15">
        <w:rPr>
          <w:rFonts w:ascii="Palatino Linotype" w:hAnsi="Palatino Linotype" w:cs="Arial"/>
        </w:rPr>
        <w:t>,</w:t>
      </w:r>
      <w:r w:rsidR="003E5ABB" w:rsidRPr="00BF3B15">
        <w:rPr>
          <w:rFonts w:ascii="Palatino Linotype" w:hAnsi="Palatino Linotype" w:cs="Arial"/>
        </w:rPr>
        <w:t xml:space="preserve"> fracción II, </w:t>
      </w:r>
      <w:r w:rsidR="006C781D" w:rsidRPr="00BF3B15">
        <w:rPr>
          <w:rFonts w:ascii="Palatino Linotype" w:hAnsi="Palatino Linotype" w:cs="Arial"/>
        </w:rPr>
        <w:t xml:space="preserve">9, </w:t>
      </w:r>
      <w:r w:rsidR="003E5ABB" w:rsidRPr="00BF3B15">
        <w:rPr>
          <w:rFonts w:ascii="Palatino Linotype" w:hAnsi="Palatino Linotype" w:cs="Arial"/>
        </w:rPr>
        <w:t>29, 36</w:t>
      </w:r>
      <w:r w:rsidR="006D2250" w:rsidRPr="00BF3B15">
        <w:rPr>
          <w:rFonts w:ascii="Palatino Linotype" w:hAnsi="Palatino Linotype" w:cs="Arial"/>
        </w:rPr>
        <w:t>,</w:t>
      </w:r>
      <w:r w:rsidR="003E5ABB" w:rsidRPr="00BF3B15">
        <w:rPr>
          <w:rFonts w:ascii="Palatino Linotype" w:hAnsi="Palatino Linotype" w:cs="Arial"/>
        </w:rPr>
        <w:t xml:space="preserve"> fracciones I y II, 176, 178, 179, 181, 185</w:t>
      </w:r>
      <w:r w:rsidR="006D2250" w:rsidRPr="00BF3B15">
        <w:rPr>
          <w:rFonts w:ascii="Palatino Linotype" w:hAnsi="Palatino Linotype" w:cs="Arial"/>
        </w:rPr>
        <w:t>,</w:t>
      </w:r>
      <w:r w:rsidR="003E5ABB" w:rsidRPr="00BF3B15">
        <w:rPr>
          <w:rFonts w:ascii="Palatino Linotype" w:hAnsi="Palatino Linotype" w:cs="Arial"/>
        </w:rPr>
        <w:t xml:space="preserve"> fracción I, 186 y 188</w:t>
      </w:r>
      <w:r w:rsidR="003E5ABB" w:rsidRPr="00BF3B15">
        <w:rPr>
          <w:rFonts w:ascii="Palatino Linotype" w:eastAsia="Calibri" w:hAnsi="Palatino Linotype" w:cs="Arial"/>
        </w:rPr>
        <w:t xml:space="preserve"> de la Ley de Transparencia y Acceso a la Información Pública del Estado de México y Municipios, este Pleno:</w:t>
      </w:r>
    </w:p>
    <w:p w:rsidR="00CF29DA" w:rsidRPr="00BF3B15" w:rsidRDefault="00CF29DA" w:rsidP="003E5ABB">
      <w:pPr>
        <w:spacing w:before="100" w:beforeAutospacing="1" w:after="100" w:afterAutospacing="1" w:line="360" w:lineRule="auto"/>
        <w:jc w:val="both"/>
        <w:rPr>
          <w:rFonts w:ascii="Palatino Linotype" w:eastAsia="Calibri" w:hAnsi="Palatino Linotype" w:cs="Arial"/>
        </w:rPr>
      </w:pPr>
    </w:p>
    <w:p w:rsidR="00CF29DA" w:rsidRPr="00BF3B15" w:rsidRDefault="00CF29DA" w:rsidP="003E5ABB">
      <w:pPr>
        <w:spacing w:before="100" w:beforeAutospacing="1" w:after="100" w:afterAutospacing="1" w:line="360" w:lineRule="auto"/>
        <w:jc w:val="both"/>
        <w:rPr>
          <w:rFonts w:ascii="Palatino Linotype" w:eastAsia="Calibri" w:hAnsi="Palatino Linotype" w:cs="Arial"/>
        </w:rPr>
      </w:pPr>
    </w:p>
    <w:p w:rsidR="003E5ABB" w:rsidRPr="00BF3B15" w:rsidRDefault="003E5ABB" w:rsidP="003E5ABB">
      <w:pPr>
        <w:spacing w:before="100" w:beforeAutospacing="1" w:after="100" w:afterAutospacing="1"/>
        <w:jc w:val="center"/>
        <w:rPr>
          <w:rFonts w:ascii="Palatino Linotype" w:hAnsi="Palatino Linotype" w:cs="Arial"/>
          <w:b/>
          <w:spacing w:val="20"/>
          <w:sz w:val="28"/>
          <w:lang w:val="pt-BR"/>
        </w:rPr>
      </w:pPr>
      <w:r w:rsidRPr="00BF3B15">
        <w:rPr>
          <w:rFonts w:ascii="Palatino Linotype" w:hAnsi="Palatino Linotype" w:cs="Arial"/>
          <w:b/>
          <w:spacing w:val="20"/>
          <w:sz w:val="28"/>
          <w:lang w:val="pt-BR"/>
        </w:rPr>
        <w:lastRenderedPageBreak/>
        <w:t>R E S U E L V E</w:t>
      </w:r>
    </w:p>
    <w:p w:rsidR="003E5ABB"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b/>
          <w:bCs/>
          <w:color w:val="222222"/>
          <w:sz w:val="28"/>
          <w:lang w:eastAsia="es-MX"/>
        </w:rPr>
        <w:t>PRIMERO</w:t>
      </w:r>
      <w:r w:rsidRPr="00BF3B15">
        <w:rPr>
          <w:rFonts w:ascii="Palatino Linotype" w:hAnsi="Palatino Linotype" w:cs="Arial"/>
        </w:rPr>
        <w:t xml:space="preserve">. Resultan </w:t>
      </w:r>
      <w:r w:rsidRPr="00BF3B15">
        <w:rPr>
          <w:rFonts w:ascii="Palatino Linotype" w:hAnsi="Palatino Linotype" w:cs="Arial"/>
          <w:b/>
        </w:rPr>
        <w:t>fundadas</w:t>
      </w:r>
      <w:r w:rsidRPr="00BF3B15">
        <w:rPr>
          <w:rFonts w:ascii="Palatino Linotype" w:hAnsi="Palatino Linotype" w:cs="Arial"/>
        </w:rPr>
        <w:t xml:space="preserve"> las razones o motivos de inconformidad planteadas por </w:t>
      </w:r>
      <w:r w:rsidR="006C781D" w:rsidRPr="00BF3B15">
        <w:rPr>
          <w:rFonts w:ascii="Palatino Linotype" w:hAnsi="Palatino Linotype" w:cs="Arial"/>
          <w:b/>
        </w:rPr>
        <w:t>LA</w:t>
      </w:r>
      <w:r w:rsidRPr="00BF3B15">
        <w:rPr>
          <w:rFonts w:ascii="Palatino Linotype" w:hAnsi="Palatino Linotype" w:cs="Arial"/>
          <w:b/>
        </w:rPr>
        <w:t xml:space="preserve"> RECURRENTE</w:t>
      </w:r>
      <w:r w:rsidRPr="00BF3B15">
        <w:rPr>
          <w:rFonts w:ascii="Palatino Linotype" w:hAnsi="Palatino Linotype" w:cs="Arial"/>
        </w:rPr>
        <w:t xml:space="preserve"> en términos del Considerando </w:t>
      </w:r>
      <w:r w:rsidRPr="00BF3B15">
        <w:rPr>
          <w:rFonts w:ascii="Palatino Linotype" w:hAnsi="Palatino Linotype" w:cs="Arial"/>
          <w:b/>
        </w:rPr>
        <w:t>QUINTO</w:t>
      </w:r>
      <w:r w:rsidRPr="00BF3B15">
        <w:rPr>
          <w:rFonts w:ascii="Palatino Linotype" w:hAnsi="Palatino Linotype" w:cs="Arial"/>
        </w:rPr>
        <w:t xml:space="preserve"> de esta Resolución.</w:t>
      </w:r>
    </w:p>
    <w:p w:rsidR="003E5ABB" w:rsidRPr="00BF3B15" w:rsidRDefault="003E5ABB" w:rsidP="003E5ABB">
      <w:pPr>
        <w:spacing w:before="100" w:beforeAutospacing="1" w:after="100" w:afterAutospacing="1" w:line="360" w:lineRule="auto"/>
        <w:jc w:val="both"/>
        <w:rPr>
          <w:rFonts w:ascii="Palatino Linotype" w:hAnsi="Palatino Linotype" w:cs="Arial"/>
        </w:rPr>
      </w:pPr>
      <w:r w:rsidRPr="00BF3B15">
        <w:rPr>
          <w:rFonts w:ascii="Palatino Linotype" w:hAnsi="Palatino Linotype" w:cs="Arial"/>
          <w:b/>
          <w:bCs/>
          <w:color w:val="222222"/>
          <w:sz w:val="28"/>
          <w:lang w:eastAsia="es-MX"/>
        </w:rPr>
        <w:t>SEGUNDO</w:t>
      </w:r>
      <w:r w:rsidRPr="00BF3B15">
        <w:rPr>
          <w:rFonts w:ascii="Palatino Linotype" w:eastAsia="Calibri" w:hAnsi="Palatino Linotype" w:cs="Arial"/>
          <w:b/>
          <w:bCs/>
        </w:rPr>
        <w:t xml:space="preserve">. </w:t>
      </w:r>
      <w:r w:rsidRPr="00BF3B15">
        <w:rPr>
          <w:rFonts w:ascii="Palatino Linotype" w:eastAsia="Calibri" w:hAnsi="Palatino Linotype" w:cs="Arial"/>
          <w:bCs/>
        </w:rPr>
        <w:t>Se</w:t>
      </w:r>
      <w:r w:rsidRPr="00BF3B15">
        <w:rPr>
          <w:rFonts w:ascii="Palatino Linotype" w:eastAsia="Calibri" w:hAnsi="Palatino Linotype" w:cs="Arial"/>
          <w:b/>
          <w:bCs/>
        </w:rPr>
        <w:t xml:space="preserve"> </w:t>
      </w:r>
      <w:r w:rsidRPr="00BF3B15">
        <w:rPr>
          <w:rFonts w:ascii="Palatino Linotype" w:eastAsia="Calibri" w:hAnsi="Palatino Linotype" w:cs="Arial"/>
          <w:b/>
        </w:rPr>
        <w:t xml:space="preserve">REVOCA </w:t>
      </w:r>
      <w:r w:rsidRPr="00BF3B15">
        <w:rPr>
          <w:rFonts w:ascii="Palatino Linotype" w:eastAsia="Calibri" w:hAnsi="Palatino Linotype" w:cs="Arial"/>
        </w:rPr>
        <w:t xml:space="preserve">la respuesta del </w:t>
      </w:r>
      <w:r w:rsidRPr="00BF3B15">
        <w:rPr>
          <w:rFonts w:ascii="Palatino Linotype" w:eastAsia="Calibri" w:hAnsi="Palatino Linotype" w:cs="Arial"/>
          <w:b/>
        </w:rPr>
        <w:t xml:space="preserve">SUJETO OBLIGADO </w:t>
      </w:r>
      <w:r w:rsidRPr="00BF3B15">
        <w:rPr>
          <w:rFonts w:ascii="Palatino Linotype" w:eastAsia="Calibri" w:hAnsi="Palatino Linotype" w:cs="Arial"/>
        </w:rPr>
        <w:t xml:space="preserve">y se ordena atienda la solicitud de información </w:t>
      </w:r>
      <w:r w:rsidR="006C781D" w:rsidRPr="00BF3B15">
        <w:rPr>
          <w:rFonts w:ascii="Palatino Linotype" w:eastAsia="Calibri" w:hAnsi="Palatino Linotype" w:cs="Arial"/>
          <w:b/>
        </w:rPr>
        <w:t>00253</w:t>
      </w:r>
      <w:r w:rsidRPr="00BF3B15">
        <w:rPr>
          <w:rFonts w:ascii="Palatino Linotype" w:eastAsia="Calibri" w:hAnsi="Palatino Linotype" w:cs="Arial"/>
          <w:b/>
        </w:rPr>
        <w:t>/</w:t>
      </w:r>
      <w:r w:rsidR="006C781D" w:rsidRPr="00BF3B15">
        <w:rPr>
          <w:rFonts w:ascii="Palatino Linotype" w:eastAsia="Calibri" w:hAnsi="Palatino Linotype" w:cs="Arial"/>
          <w:b/>
        </w:rPr>
        <w:t>METEPEC</w:t>
      </w:r>
      <w:r w:rsidRPr="00BF3B15">
        <w:rPr>
          <w:rFonts w:ascii="Palatino Linotype" w:eastAsia="Calibri" w:hAnsi="Palatino Linotype" w:cs="Arial"/>
          <w:b/>
        </w:rPr>
        <w:t>/IP/2018</w:t>
      </w:r>
      <w:r w:rsidRPr="00BF3B15">
        <w:rPr>
          <w:rFonts w:ascii="Palatino Linotype" w:eastAsia="Calibri" w:hAnsi="Palatino Linotype" w:cs="Arial"/>
        </w:rPr>
        <w:t xml:space="preserve"> </w:t>
      </w:r>
      <w:r w:rsidRPr="00BF3B15">
        <w:rPr>
          <w:rFonts w:ascii="Palatino Linotype" w:hAnsi="Palatino Linotype" w:cs="Arial"/>
          <w:bCs/>
        </w:rPr>
        <w:t xml:space="preserve">y haga entrega a </w:t>
      </w:r>
      <w:r w:rsidR="006C781D" w:rsidRPr="00BF3B15">
        <w:rPr>
          <w:rFonts w:ascii="Palatino Linotype" w:hAnsi="Palatino Linotype" w:cs="Arial"/>
          <w:b/>
          <w:bCs/>
        </w:rPr>
        <w:t>LA R</w:t>
      </w:r>
      <w:r w:rsidRPr="00BF3B15">
        <w:rPr>
          <w:rFonts w:ascii="Palatino Linotype" w:hAnsi="Palatino Linotype" w:cs="Arial"/>
          <w:b/>
          <w:bCs/>
        </w:rPr>
        <w:t xml:space="preserve">ECURRENTE, </w:t>
      </w:r>
      <w:r w:rsidRPr="00BF3B15">
        <w:rPr>
          <w:rFonts w:ascii="Palatino Linotype" w:hAnsi="Palatino Linotype" w:cs="Arial"/>
          <w:bCs/>
        </w:rPr>
        <w:t xml:space="preserve">en términos del Considerando </w:t>
      </w:r>
      <w:r w:rsidRPr="00BF3B15">
        <w:rPr>
          <w:rFonts w:ascii="Palatino Linotype" w:hAnsi="Palatino Linotype" w:cs="Arial"/>
          <w:b/>
          <w:bCs/>
        </w:rPr>
        <w:t>QUINTO</w:t>
      </w:r>
      <w:r w:rsidRPr="00BF3B15">
        <w:rPr>
          <w:rFonts w:ascii="Palatino Linotype" w:hAnsi="Palatino Linotype" w:cs="Arial"/>
          <w:bCs/>
        </w:rPr>
        <w:t xml:space="preserve"> de esta resolución vía </w:t>
      </w:r>
      <w:r w:rsidRPr="00BF3B15">
        <w:rPr>
          <w:rFonts w:ascii="Palatino Linotype" w:hAnsi="Palatino Linotype" w:cs="Arial"/>
          <w:b/>
          <w:bCs/>
        </w:rPr>
        <w:t xml:space="preserve">SAIMEX, </w:t>
      </w:r>
      <w:r w:rsidRPr="00BF3B15">
        <w:rPr>
          <w:rFonts w:ascii="Palatino Linotype" w:hAnsi="Palatino Linotype" w:cs="Arial"/>
          <w:bCs/>
        </w:rPr>
        <w:t xml:space="preserve">en </w:t>
      </w:r>
      <w:r w:rsidRPr="00BF3B15">
        <w:rPr>
          <w:rFonts w:ascii="Palatino Linotype" w:hAnsi="Palatino Linotype" w:cs="Arial"/>
          <w:b/>
          <w:bCs/>
        </w:rPr>
        <w:t>versión pública</w:t>
      </w:r>
      <w:r w:rsidR="00BF3B15" w:rsidRPr="00BF3B15">
        <w:rPr>
          <w:rFonts w:ascii="Palatino Linotype" w:hAnsi="Palatino Linotype" w:cs="Arial"/>
          <w:b/>
          <w:bCs/>
        </w:rPr>
        <w:t>,</w:t>
      </w:r>
      <w:r w:rsidRPr="00BF3B15">
        <w:rPr>
          <w:rFonts w:ascii="Palatino Linotype" w:hAnsi="Palatino Linotype" w:cs="Arial"/>
          <w:bCs/>
        </w:rPr>
        <w:t xml:space="preserve"> </w:t>
      </w:r>
      <w:r w:rsidRPr="00BF3B15">
        <w:rPr>
          <w:rFonts w:ascii="Palatino Linotype" w:hAnsi="Palatino Linotype" w:cs="Arial"/>
        </w:rPr>
        <w:t>de</w:t>
      </w:r>
      <w:r w:rsidR="006C781D" w:rsidRPr="00BF3B15">
        <w:rPr>
          <w:rFonts w:ascii="Palatino Linotype" w:hAnsi="Palatino Linotype" w:cs="Arial"/>
        </w:rPr>
        <w:t xml:space="preserve"> la Dirección de Seguridad Pública y Tránsito </w:t>
      </w:r>
      <w:r w:rsidRPr="00BF3B15">
        <w:rPr>
          <w:rFonts w:ascii="Palatino Linotype" w:hAnsi="Palatino Linotype" w:cs="Arial"/>
        </w:rPr>
        <w:t>lo siguiente:</w:t>
      </w:r>
    </w:p>
    <w:p w:rsidR="003F095C" w:rsidRPr="00BF3B15" w:rsidRDefault="003F095C" w:rsidP="003F095C">
      <w:pPr>
        <w:ind w:left="851" w:right="757"/>
        <w:jc w:val="both"/>
        <w:rPr>
          <w:rFonts w:ascii="Palatino Linotype" w:eastAsia="Arial Unicode MS" w:hAnsi="Palatino Linotype" w:cs="Arial"/>
          <w:i/>
          <w:sz w:val="22"/>
          <w:szCs w:val="22"/>
        </w:rPr>
      </w:pPr>
      <w:r w:rsidRPr="00BF3B15">
        <w:rPr>
          <w:rFonts w:ascii="Palatino Linotype" w:eastAsia="Arial Unicode MS" w:hAnsi="Palatino Linotype" w:cs="Arial"/>
          <w:i/>
          <w:sz w:val="22"/>
          <w:szCs w:val="22"/>
        </w:rPr>
        <w:t xml:space="preserve">“a) Los recibos de nómina del personal adscrito, correspondientes a la primera quincena del mes de noviembre de 2018; </w:t>
      </w:r>
    </w:p>
    <w:p w:rsidR="003F095C" w:rsidRPr="00BF3B15" w:rsidRDefault="003F095C" w:rsidP="003F095C">
      <w:pPr>
        <w:spacing w:before="240" w:after="240" w:line="276" w:lineRule="auto"/>
        <w:ind w:left="851" w:right="757"/>
        <w:jc w:val="both"/>
        <w:rPr>
          <w:rFonts w:ascii="Palatino Linotype" w:eastAsia="Arial Unicode MS" w:hAnsi="Palatino Linotype" w:cs="Arial"/>
          <w:i/>
          <w:sz w:val="22"/>
          <w:szCs w:val="22"/>
        </w:rPr>
      </w:pPr>
      <w:r w:rsidRPr="00BF3B15">
        <w:rPr>
          <w:rFonts w:ascii="Palatino Linotype" w:eastAsia="Arial Unicode MS" w:hAnsi="Palatino Linotype" w:cs="Arial"/>
          <w:i/>
          <w:sz w:val="22"/>
          <w:szCs w:val="22"/>
        </w:rPr>
        <w:t xml:space="preserve">b) El documento o documentos donde conste la cantidad de vehículos que integran el parque vehicular, al 26 de noviembre de 2018, o </w:t>
      </w:r>
      <w:r w:rsidR="00BF3B15" w:rsidRPr="00BF3B15">
        <w:rPr>
          <w:rFonts w:ascii="Palatino Linotype" w:eastAsia="Arial Unicode MS" w:hAnsi="Palatino Linotype" w:cs="Arial"/>
          <w:i/>
          <w:sz w:val="22"/>
          <w:szCs w:val="22"/>
        </w:rPr>
        <w:t xml:space="preserve">bien </w:t>
      </w:r>
      <w:r w:rsidRPr="00BF3B15">
        <w:rPr>
          <w:rFonts w:ascii="Palatino Linotype" w:eastAsia="Arial Unicode MS" w:hAnsi="Palatino Linotype" w:cs="Arial"/>
          <w:i/>
          <w:sz w:val="22"/>
          <w:szCs w:val="22"/>
        </w:rPr>
        <w:t>el ultimo generado en términos de la normatividad aplicable y,</w:t>
      </w:r>
    </w:p>
    <w:p w:rsidR="003F095C" w:rsidRPr="00BF3B15" w:rsidRDefault="003F095C" w:rsidP="003F095C">
      <w:pPr>
        <w:spacing w:before="240" w:after="240" w:line="276" w:lineRule="auto"/>
        <w:ind w:left="851" w:right="757"/>
        <w:jc w:val="both"/>
        <w:rPr>
          <w:rFonts w:ascii="Palatino Linotype" w:eastAsia="Arial Unicode MS" w:hAnsi="Palatino Linotype" w:cs="Arial"/>
          <w:i/>
          <w:sz w:val="22"/>
          <w:szCs w:val="22"/>
        </w:rPr>
      </w:pPr>
      <w:r w:rsidRPr="00BF3B15">
        <w:rPr>
          <w:rFonts w:ascii="Palatino Linotype" w:eastAsia="Arial Unicode MS" w:hAnsi="Palatino Linotype" w:cs="Arial"/>
          <w:i/>
          <w:sz w:val="22"/>
          <w:szCs w:val="22"/>
        </w:rPr>
        <w:t>c) El documento o documentos donde consten los bienes muebles asignados a dicha Dirección al 26 de noviembre de 2018 o bien el último generado en términos la normatividad aplicable.</w:t>
      </w:r>
    </w:p>
    <w:p w:rsidR="003F095C" w:rsidRPr="00BF3B15" w:rsidRDefault="003F095C" w:rsidP="003F095C">
      <w:pPr>
        <w:ind w:left="851" w:right="757"/>
        <w:jc w:val="both"/>
        <w:rPr>
          <w:rFonts w:ascii="Palatino Linotype" w:hAnsi="Palatino Linotype"/>
          <w:i/>
          <w:sz w:val="22"/>
          <w:szCs w:val="22"/>
        </w:rPr>
      </w:pPr>
      <w:r w:rsidRPr="00BF3B15">
        <w:rPr>
          <w:rFonts w:ascii="Palatino Linotype" w:hAnsi="Palatino Linotype"/>
          <w:i/>
          <w:sz w:val="22"/>
          <w:szCs w:val="22"/>
        </w:rPr>
        <w:t xml:space="preserve">Debiendo </w:t>
      </w:r>
      <w:r w:rsidRPr="00BF3B15">
        <w:rPr>
          <w:rFonts w:ascii="Palatino Linotype" w:eastAsia="Arial Unicode MS" w:hAnsi="Palatino Linotype" w:cs="Arial"/>
          <w:i/>
          <w:sz w:val="22"/>
          <w:szCs w:val="22"/>
        </w:rPr>
        <w:t>notificar</w:t>
      </w:r>
      <w:r w:rsidRPr="00BF3B15">
        <w:rPr>
          <w:rFonts w:ascii="Palatino Linotype" w:hAnsi="Palatino Linotype"/>
          <w:i/>
          <w:sz w:val="22"/>
          <w:szCs w:val="22"/>
        </w:rPr>
        <w:t xml:space="preserve"> a </w:t>
      </w:r>
      <w:r w:rsidRPr="00BF3B15">
        <w:rPr>
          <w:rFonts w:ascii="Palatino Linotype" w:hAnsi="Palatino Linotype"/>
          <w:b/>
          <w:i/>
          <w:sz w:val="22"/>
          <w:szCs w:val="22"/>
        </w:rPr>
        <w:t>LA RECURRENTE</w:t>
      </w:r>
      <w:r w:rsidRPr="00BF3B15">
        <w:rPr>
          <w:rFonts w:ascii="Palatino Linotype" w:hAnsi="Palatino Linotype"/>
          <w:i/>
          <w:sz w:val="22"/>
          <w:szCs w:val="22"/>
        </w:rPr>
        <w:t xml:space="preserve"> el Acuerdo de Clasificación de la información que emita su Comité de Transparencia con motivo de las versiones públicas.</w:t>
      </w:r>
      <w:r w:rsidRPr="00BF3B15">
        <w:rPr>
          <w:rFonts w:ascii="Palatino Linotype" w:hAnsi="Palatino Linotype" w:cs="Arial"/>
          <w:i/>
          <w:iCs/>
          <w:sz w:val="22"/>
          <w:szCs w:val="22"/>
        </w:rPr>
        <w:t>”</w:t>
      </w:r>
    </w:p>
    <w:p w:rsidR="003E5ABB" w:rsidRPr="00BF3B15" w:rsidRDefault="003E5ABB" w:rsidP="003E5ABB">
      <w:pPr>
        <w:spacing w:before="100" w:beforeAutospacing="1" w:after="100" w:afterAutospacing="1" w:line="360" w:lineRule="auto"/>
        <w:jc w:val="both"/>
        <w:rPr>
          <w:rFonts w:ascii="Palatino Linotype" w:hAnsi="Palatino Linotype"/>
          <w:color w:val="222222"/>
          <w:shd w:val="clear" w:color="auto" w:fill="FFFFFF"/>
        </w:rPr>
      </w:pPr>
      <w:r w:rsidRPr="00BF3B15">
        <w:rPr>
          <w:rFonts w:ascii="Palatino Linotype" w:hAnsi="Palatino Linotype"/>
          <w:b/>
          <w:color w:val="222222"/>
          <w:sz w:val="28"/>
          <w:szCs w:val="28"/>
          <w:shd w:val="clear" w:color="auto" w:fill="FFFFFF"/>
        </w:rPr>
        <w:t>TERCERO.</w:t>
      </w:r>
      <w:r w:rsidRPr="00BF3B15">
        <w:rPr>
          <w:rStyle w:val="apple-converted-space"/>
          <w:rFonts w:ascii="Palatino Linotype" w:hAnsi="Palatino Linotype"/>
          <w:b/>
          <w:color w:val="222222"/>
          <w:shd w:val="clear" w:color="auto" w:fill="FFFFFF"/>
        </w:rPr>
        <w:t> </w:t>
      </w:r>
      <w:r w:rsidRPr="00BF3B15">
        <w:rPr>
          <w:rFonts w:ascii="Palatino Linotype" w:hAnsi="Palatino Linotype"/>
          <w:b/>
          <w:color w:val="222222"/>
          <w:szCs w:val="17"/>
          <w:lang w:eastAsia="es-ES_tradnl"/>
        </w:rPr>
        <w:t>Notifíquese</w:t>
      </w:r>
      <w:r w:rsidRPr="00BF3B15">
        <w:rPr>
          <w:rFonts w:ascii="Palatino Linotype" w:hAnsi="Palatino Linotype"/>
          <w:color w:val="222222"/>
          <w:szCs w:val="17"/>
          <w:lang w:eastAsia="es-ES_tradnl"/>
        </w:rPr>
        <w:t xml:space="preserve"> </w:t>
      </w:r>
      <w:r w:rsidRPr="00BF3B15">
        <w:rPr>
          <w:rFonts w:ascii="Palatino Linotype" w:hAnsi="Palatino Linotype"/>
          <w:color w:val="222222"/>
          <w:shd w:val="clear" w:color="auto" w:fill="FFFFFF"/>
        </w:rPr>
        <w:t>al Titular de la Unidad de Transparencia del</w:t>
      </w:r>
      <w:r w:rsidRPr="00BF3B15">
        <w:rPr>
          <w:rStyle w:val="apple-converted-space"/>
          <w:rFonts w:ascii="Palatino Linotype" w:hAnsi="Palatino Linotype"/>
          <w:b/>
          <w:color w:val="222222"/>
          <w:shd w:val="clear" w:color="auto" w:fill="FFFFFF"/>
        </w:rPr>
        <w:t> </w:t>
      </w:r>
      <w:r w:rsidRPr="00BF3B15">
        <w:rPr>
          <w:rFonts w:ascii="Palatino Linotype" w:hAnsi="Palatino Linotype"/>
          <w:b/>
          <w:color w:val="222222"/>
          <w:shd w:val="clear" w:color="auto" w:fill="FFFFFF"/>
        </w:rPr>
        <w:t>SUJETO OBLIGADO</w:t>
      </w:r>
      <w:r w:rsidRPr="00BF3B15">
        <w:rPr>
          <w:rFonts w:ascii="Palatino Linotype" w:hAnsi="Palatino Linotype"/>
          <w:color w:val="222222"/>
          <w:shd w:val="clear" w:color="auto" w:fill="FFFFFF"/>
        </w:rPr>
        <w:t>, para que conforme a los artículos 186</w:t>
      </w:r>
      <w:r w:rsidR="00E82A98" w:rsidRPr="00BF3B15">
        <w:rPr>
          <w:rFonts w:ascii="Palatino Linotype" w:hAnsi="Palatino Linotype"/>
          <w:color w:val="222222"/>
          <w:shd w:val="clear" w:color="auto" w:fill="FFFFFF"/>
        </w:rPr>
        <w:t>,</w:t>
      </w:r>
      <w:r w:rsidRPr="00BF3B15">
        <w:rPr>
          <w:rFonts w:ascii="Palatino Linotype" w:hAnsi="Palatino Linotype"/>
          <w:color w:val="222222"/>
          <w:shd w:val="clear" w:color="auto" w:fill="FFFFFF"/>
        </w:rPr>
        <w:t xml:space="preserve"> último párrafo y 189</w:t>
      </w:r>
      <w:r w:rsidR="00E82A98" w:rsidRPr="00BF3B15">
        <w:rPr>
          <w:rFonts w:ascii="Palatino Linotype" w:hAnsi="Palatino Linotype"/>
          <w:color w:val="222222"/>
          <w:shd w:val="clear" w:color="auto" w:fill="FFFFFF"/>
        </w:rPr>
        <w:t>,</w:t>
      </w:r>
      <w:r w:rsidRPr="00BF3B15">
        <w:rPr>
          <w:rFonts w:ascii="Palatino Linotype" w:hAnsi="Palatino Linotype"/>
          <w:color w:val="222222"/>
          <w:shd w:val="clear" w:color="auto" w:fill="FFFFFF"/>
        </w:rPr>
        <w:t xml:space="preserve"> párrafo segundo de la Ley de Transparencia y Acceso a la Información Pública del Estado de México y Municipios, dé cumplimiento a lo ordenado dentro del plazo de diez días hábiles, debiendo informar a este Instituto en un plazo </w:t>
      </w:r>
      <w:r w:rsidRPr="00BF3B15">
        <w:rPr>
          <w:rFonts w:ascii="Palatino Linotype" w:eastAsiaTheme="minorEastAsia" w:hAnsi="Palatino Linotype"/>
          <w:color w:val="222222"/>
          <w:szCs w:val="17"/>
          <w:lang w:eastAsia="es-ES_tradnl"/>
        </w:rPr>
        <w:t>de</w:t>
      </w:r>
      <w:r w:rsidRPr="00BF3B15">
        <w:rPr>
          <w:rFonts w:ascii="Palatino Linotype" w:hAnsi="Palatino Linotype"/>
          <w:color w:val="222222"/>
          <w:shd w:val="clear" w:color="auto" w:fill="FFFFFF"/>
        </w:rPr>
        <w:t xml:space="preserve"> tres días hábiles siguientes sobre el cumplimiento dado a la presente resolución.</w:t>
      </w:r>
    </w:p>
    <w:p w:rsidR="003E5ABB" w:rsidRPr="00BF3B15" w:rsidRDefault="003E5ABB" w:rsidP="003E5ABB">
      <w:pPr>
        <w:spacing w:before="100" w:beforeAutospacing="1" w:after="100" w:afterAutospacing="1" w:line="360" w:lineRule="auto"/>
        <w:ind w:right="49"/>
        <w:jc w:val="both"/>
        <w:rPr>
          <w:rFonts w:ascii="Palatino Linotype" w:hAnsi="Palatino Linotype"/>
          <w:color w:val="222222"/>
          <w:szCs w:val="17"/>
          <w:lang w:eastAsia="es-ES_tradnl"/>
        </w:rPr>
      </w:pPr>
      <w:r w:rsidRPr="00BF3B15">
        <w:rPr>
          <w:rFonts w:ascii="Palatino Linotype" w:hAnsi="Palatino Linotype" w:cs="Arial"/>
          <w:b/>
          <w:bCs/>
          <w:color w:val="222222"/>
          <w:sz w:val="28"/>
          <w:lang w:eastAsia="es-MX"/>
        </w:rPr>
        <w:lastRenderedPageBreak/>
        <w:t xml:space="preserve">CUARTO. </w:t>
      </w:r>
      <w:r w:rsidRPr="00BF3B15">
        <w:rPr>
          <w:rFonts w:ascii="Palatino Linotype" w:hAnsi="Palatino Linotype"/>
          <w:b/>
          <w:color w:val="222222"/>
          <w:szCs w:val="17"/>
          <w:lang w:eastAsia="es-ES_tradnl"/>
        </w:rPr>
        <w:t>Notifíquese</w:t>
      </w:r>
      <w:r w:rsidRPr="00BF3B15">
        <w:rPr>
          <w:rFonts w:ascii="Palatino Linotype" w:hAnsi="Palatino Linotype"/>
          <w:color w:val="222222"/>
          <w:szCs w:val="17"/>
          <w:lang w:eastAsia="es-ES_tradnl"/>
        </w:rPr>
        <w:t xml:space="preserve"> a </w:t>
      </w:r>
      <w:r w:rsidR="00E82A98" w:rsidRPr="00BF3B15">
        <w:rPr>
          <w:rFonts w:ascii="Palatino Linotype" w:hAnsi="Palatino Linotype"/>
          <w:b/>
          <w:color w:val="222222"/>
          <w:szCs w:val="17"/>
          <w:lang w:eastAsia="es-ES_tradnl"/>
        </w:rPr>
        <w:t>LA RE</w:t>
      </w:r>
      <w:r w:rsidRPr="00BF3B15">
        <w:rPr>
          <w:rFonts w:ascii="Palatino Linotype" w:hAnsi="Palatino Linotype"/>
          <w:b/>
          <w:color w:val="222222"/>
          <w:szCs w:val="17"/>
          <w:lang w:eastAsia="es-ES_tradnl"/>
        </w:rPr>
        <w:t>CURRENTE</w:t>
      </w:r>
      <w:r w:rsidRPr="00BF3B15">
        <w:rPr>
          <w:rFonts w:ascii="Palatino Linotype" w:hAnsi="Palatino Linotype"/>
          <w:color w:val="222222"/>
          <w:szCs w:val="17"/>
          <w:lang w:eastAsia="es-ES_tradnl"/>
        </w:rPr>
        <w:t xml:space="preserve"> la presente resolución.</w:t>
      </w:r>
    </w:p>
    <w:p w:rsidR="003E5ABB" w:rsidRPr="00BF3B15" w:rsidRDefault="003E5ABB" w:rsidP="003E5ABB">
      <w:pPr>
        <w:spacing w:before="100" w:beforeAutospacing="1" w:after="100" w:afterAutospacing="1" w:line="360" w:lineRule="auto"/>
        <w:ind w:right="49"/>
        <w:jc w:val="both"/>
        <w:rPr>
          <w:rFonts w:ascii="Palatino Linotype" w:hAnsi="Palatino Linotype"/>
          <w:color w:val="222222"/>
          <w:szCs w:val="17"/>
          <w:lang w:eastAsia="es-ES_tradnl"/>
        </w:rPr>
      </w:pPr>
      <w:r w:rsidRPr="00BF3B15">
        <w:rPr>
          <w:rFonts w:ascii="Palatino Linotype" w:hAnsi="Palatino Linotype" w:cs="Arial"/>
          <w:b/>
          <w:bCs/>
          <w:color w:val="222222"/>
          <w:sz w:val="28"/>
          <w:lang w:eastAsia="es-MX"/>
        </w:rPr>
        <w:t>QUINTO.</w:t>
      </w:r>
      <w:r w:rsidRPr="00BF3B15">
        <w:rPr>
          <w:rFonts w:ascii="Palatino Linotype" w:hAnsi="Palatino Linotype"/>
          <w:color w:val="222222"/>
          <w:szCs w:val="17"/>
          <w:lang w:eastAsia="es-ES_tradnl"/>
        </w:rPr>
        <w:t xml:space="preserve"> </w:t>
      </w:r>
      <w:r w:rsidRPr="00BF3B15">
        <w:rPr>
          <w:rFonts w:ascii="Palatino Linotype" w:hAnsi="Palatino Linotype"/>
          <w:b/>
          <w:color w:val="222222"/>
          <w:szCs w:val="17"/>
          <w:lang w:eastAsia="es-ES_tradnl"/>
        </w:rPr>
        <w:t>Hágase del conocimiento</w:t>
      </w:r>
      <w:r w:rsidR="00E82A98" w:rsidRPr="00BF3B15">
        <w:rPr>
          <w:rFonts w:ascii="Palatino Linotype" w:hAnsi="Palatino Linotype"/>
          <w:color w:val="222222"/>
          <w:szCs w:val="17"/>
          <w:lang w:eastAsia="es-ES_tradnl"/>
        </w:rPr>
        <w:t xml:space="preserve"> a</w:t>
      </w:r>
      <w:r w:rsidRPr="00BF3B15">
        <w:rPr>
          <w:rFonts w:ascii="Palatino Linotype" w:hAnsi="Palatino Linotype"/>
          <w:color w:val="222222"/>
          <w:szCs w:val="17"/>
          <w:lang w:eastAsia="es-ES_tradnl"/>
        </w:rPr>
        <w:t xml:space="preserve"> </w:t>
      </w:r>
      <w:r w:rsidR="00E82A98" w:rsidRPr="00BF3B15">
        <w:rPr>
          <w:rFonts w:ascii="Palatino Linotype" w:hAnsi="Palatino Linotype"/>
          <w:b/>
          <w:color w:val="222222"/>
          <w:szCs w:val="17"/>
          <w:lang w:eastAsia="es-ES_tradnl"/>
        </w:rPr>
        <w:t>LA R</w:t>
      </w:r>
      <w:r w:rsidRPr="00BF3B15">
        <w:rPr>
          <w:rFonts w:ascii="Palatino Linotype" w:hAnsi="Palatino Linotype"/>
          <w:b/>
          <w:color w:val="222222"/>
          <w:szCs w:val="17"/>
          <w:lang w:eastAsia="es-ES_tradnl"/>
        </w:rPr>
        <w:t>ECURRENTE</w:t>
      </w:r>
      <w:r w:rsidRPr="00BF3B15">
        <w:rPr>
          <w:rFonts w:ascii="Palatino Linotype"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3E5ABB" w:rsidRPr="00BF3B15" w:rsidRDefault="003E5ABB" w:rsidP="003E5ABB">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BF3B15">
        <w:rPr>
          <w:rFonts w:ascii="Palatino Linotype" w:hAnsi="Palatino Linotype" w:cs="Arial"/>
        </w:rPr>
        <w:t>ASÍ LO RESUELVE, POR UNANIMIDAD DE VOTOS, EL PLENO DEL</w:t>
      </w:r>
      <w:r w:rsidRPr="00BF3B15">
        <w:rPr>
          <w:rFonts w:ascii="Palatino Linotype" w:eastAsia="Arial Unicode MS" w:hAnsi="Palatino Linotype" w:cs="Arial"/>
        </w:rPr>
        <w:t xml:space="preserve"> INSTITUTO DE TRANSPARENCIA, ACCESO A LA INFORMACIÓN PÚBLICA Y PROTECCIÓN DE DATOS PERSONALES DEL ESTADO DE MÉXICO Y MUNICIPIOS</w:t>
      </w:r>
      <w:r w:rsidRPr="00BF3B15">
        <w:rPr>
          <w:rFonts w:ascii="Palatino Linotype" w:hAnsi="Palatino Linotype" w:cs="Arial"/>
        </w:rPr>
        <w:t>, CONFORMADO POR LOS COMISIONADOS ZULEMA MARTÍNEZ SÁNCHEZ</w:t>
      </w:r>
      <w:r w:rsidR="00F85B8E">
        <w:rPr>
          <w:rFonts w:ascii="Palatino Linotype" w:hAnsi="Palatino Linotype" w:cs="Arial"/>
        </w:rPr>
        <w:t xml:space="preserve"> EMITIENDO VOTO PARTICULAR</w:t>
      </w:r>
      <w:r w:rsidRPr="00BF3B15">
        <w:rPr>
          <w:rFonts w:ascii="Palatino Linotype" w:hAnsi="Palatino Linotype" w:cs="Arial"/>
        </w:rPr>
        <w:t>; EVA ABAID YAPUR; JOSÉ GUADALUPE LUNA HERNÁNDEZ</w:t>
      </w:r>
      <w:r w:rsidR="00F85B8E">
        <w:rPr>
          <w:rFonts w:ascii="Palatino Linotype" w:hAnsi="Palatino Linotype" w:cs="Arial"/>
        </w:rPr>
        <w:t xml:space="preserve"> CON AUSENCIA JUSTIFICADA</w:t>
      </w:r>
      <w:r w:rsidRPr="00BF3B15">
        <w:rPr>
          <w:rFonts w:ascii="Palatino Linotype" w:hAnsi="Palatino Linotype" w:cs="Arial"/>
        </w:rPr>
        <w:t>; JAVIER MARTÍNEZ CRUZ</w:t>
      </w:r>
      <w:r w:rsidR="00F85B8E">
        <w:rPr>
          <w:rFonts w:ascii="Palatino Linotype" w:hAnsi="Palatino Linotype" w:cs="Arial"/>
        </w:rPr>
        <w:t xml:space="preserve"> EMITIENDO VOTO PARTICULAR</w:t>
      </w:r>
      <w:r w:rsidRPr="00BF3B15">
        <w:rPr>
          <w:rFonts w:ascii="Palatino Linotype" w:hAnsi="Palatino Linotype" w:cs="Arial"/>
        </w:rPr>
        <w:t xml:space="preserve"> Y LUIS GUSTAVO PARRA NORIEGA</w:t>
      </w:r>
      <w:r w:rsidR="00F85B8E">
        <w:rPr>
          <w:rFonts w:ascii="Palatino Linotype" w:hAnsi="Palatino Linotype" w:cs="Arial"/>
        </w:rPr>
        <w:t xml:space="preserve"> EMITIENDO VOTO PARTICULAR</w:t>
      </w:r>
      <w:r w:rsidRPr="00BF3B15">
        <w:rPr>
          <w:rFonts w:ascii="Palatino Linotype" w:hAnsi="Palatino Linotype" w:cs="Arial"/>
        </w:rPr>
        <w:t xml:space="preserve">; </w:t>
      </w:r>
      <w:r w:rsidR="00E82A98" w:rsidRPr="00BF3B15">
        <w:rPr>
          <w:rFonts w:ascii="Palatino Linotype" w:hAnsi="Palatino Linotype" w:cs="Arial"/>
        </w:rPr>
        <w:t xml:space="preserve">EN LA DÉCIMA </w:t>
      </w:r>
      <w:r w:rsidR="00E158CC" w:rsidRPr="00BF3B15">
        <w:rPr>
          <w:rFonts w:ascii="Palatino Linotype" w:hAnsi="Palatino Linotype" w:cs="Arial"/>
        </w:rPr>
        <w:t>TERCERA</w:t>
      </w:r>
      <w:r w:rsidR="00E82A98" w:rsidRPr="00BF3B15">
        <w:rPr>
          <w:rFonts w:ascii="Palatino Linotype" w:hAnsi="Palatino Linotype" w:cs="Arial"/>
        </w:rPr>
        <w:t xml:space="preserve"> </w:t>
      </w:r>
      <w:r w:rsidR="00E158CC" w:rsidRPr="00BF3B15">
        <w:rPr>
          <w:rFonts w:ascii="Palatino Linotype" w:hAnsi="Palatino Linotype" w:cs="Arial"/>
        </w:rPr>
        <w:t xml:space="preserve">SESIÓN ORDINARIA CELEBRADA EL TRES DE ABRIL DE </w:t>
      </w:r>
      <w:r w:rsidR="00E82A98" w:rsidRPr="00BF3B15">
        <w:rPr>
          <w:rFonts w:ascii="Palatino Linotype" w:hAnsi="Palatino Linotype" w:cs="Arial"/>
        </w:rPr>
        <w:t>D</w:t>
      </w:r>
      <w:r w:rsidRPr="00BF3B15">
        <w:rPr>
          <w:rFonts w:ascii="Palatino Linotype" w:hAnsi="Palatino Linotype" w:cs="Arial"/>
        </w:rPr>
        <w:t xml:space="preserve">OS MIL DIECINUEVE, ANTE EL SECRETARIO TÉCNICO DEL PLENO, </w:t>
      </w:r>
      <w:r w:rsidRPr="00BF3B15">
        <w:rPr>
          <w:rFonts w:ascii="Palatino Linotype" w:hAnsi="Palatino Linotype" w:cs="Arial"/>
          <w:lang w:val="es-ES_tradnl"/>
        </w:rPr>
        <w:t>ALEXIS TAPIA RAMÍREZ.</w:t>
      </w:r>
    </w:p>
    <w:tbl>
      <w:tblPr>
        <w:tblW w:w="10368" w:type="dxa"/>
        <w:jc w:val="center"/>
        <w:tblLayout w:type="fixed"/>
        <w:tblLook w:val="04A0" w:firstRow="1" w:lastRow="0" w:firstColumn="1" w:lastColumn="0" w:noHBand="0" w:noVBand="1"/>
      </w:tblPr>
      <w:tblGrid>
        <w:gridCol w:w="5184"/>
        <w:gridCol w:w="5184"/>
      </w:tblGrid>
      <w:tr w:rsidR="003E5ABB" w:rsidRPr="00BF3B15" w:rsidTr="006C781D">
        <w:trPr>
          <w:jc w:val="center"/>
        </w:trPr>
        <w:tc>
          <w:tcPr>
            <w:tcW w:w="10368" w:type="dxa"/>
            <w:gridSpan w:val="2"/>
          </w:tcPr>
          <w:p w:rsidR="003E5ABB" w:rsidRPr="00BF3B15" w:rsidRDefault="003E5ABB"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E158CC" w:rsidRDefault="00E158CC"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Pr="00BF3B15" w:rsidRDefault="00F85B8E"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Zulema Martínez Sánchez</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lang w:val="es-ES_tradnl"/>
              </w:rPr>
              <w:t>Comisionada Presidenta</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 xml:space="preserve">(RÚBRICA) </w:t>
            </w:r>
          </w:p>
        </w:tc>
      </w:tr>
      <w:tr w:rsidR="003E5ABB" w:rsidRPr="00BF3B15" w:rsidTr="006C781D">
        <w:trPr>
          <w:jc w:val="center"/>
        </w:trPr>
        <w:tc>
          <w:tcPr>
            <w:tcW w:w="5184" w:type="dxa"/>
            <w:hideMark/>
          </w:tcPr>
          <w:p w:rsidR="003E5ABB" w:rsidRPr="00BF3B15" w:rsidRDefault="003E5ABB" w:rsidP="006C781D">
            <w:pPr>
              <w:jc w:val="center"/>
              <w:rPr>
                <w:rFonts w:ascii="Palatino Linotype" w:hAnsi="Palatino Linotype" w:cs="Arial"/>
                <w:b/>
                <w:lang w:val="es-ES_tradnl"/>
              </w:rPr>
            </w:pPr>
          </w:p>
          <w:p w:rsidR="00CF29DA" w:rsidRDefault="00CF29DA" w:rsidP="006C781D">
            <w:pPr>
              <w:jc w:val="center"/>
              <w:rPr>
                <w:rFonts w:ascii="Palatino Linotype" w:hAnsi="Palatino Linotype" w:cs="Arial"/>
                <w:b/>
                <w:lang w:val="es-ES_tradnl"/>
              </w:rPr>
            </w:pPr>
          </w:p>
          <w:p w:rsidR="00F85B8E" w:rsidRPr="00BF3B15" w:rsidRDefault="00F85B8E" w:rsidP="006C781D">
            <w:pPr>
              <w:jc w:val="center"/>
              <w:rPr>
                <w:rFonts w:ascii="Palatino Linotype" w:hAnsi="Palatino Linotype" w:cs="Arial"/>
                <w:b/>
                <w:lang w:val="es-ES_tradnl"/>
              </w:rPr>
            </w:pPr>
          </w:p>
          <w:p w:rsidR="003E5ABB" w:rsidRDefault="003E5ABB"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Pr="00BF3B15" w:rsidRDefault="00F85B8E"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 xml:space="preserve">Eva </w:t>
            </w:r>
            <w:proofErr w:type="spellStart"/>
            <w:r w:rsidRPr="00BF3B15">
              <w:rPr>
                <w:rFonts w:ascii="Palatino Linotype" w:hAnsi="Palatino Linotype" w:cs="Arial"/>
                <w:b/>
                <w:lang w:val="es-ES_tradnl"/>
              </w:rPr>
              <w:t>Abaid</w:t>
            </w:r>
            <w:proofErr w:type="spellEnd"/>
            <w:r w:rsidRPr="00BF3B15">
              <w:rPr>
                <w:rFonts w:ascii="Palatino Linotype" w:hAnsi="Palatino Linotype" w:cs="Arial"/>
                <w:b/>
                <w:lang w:val="es-ES_tradnl"/>
              </w:rPr>
              <w:t xml:space="preserve"> </w:t>
            </w:r>
            <w:proofErr w:type="spellStart"/>
            <w:r w:rsidRPr="00BF3B15">
              <w:rPr>
                <w:rFonts w:ascii="Palatino Linotype" w:hAnsi="Palatino Linotype" w:cs="Arial"/>
                <w:b/>
                <w:lang w:val="es-ES_tradnl"/>
              </w:rPr>
              <w:t>Yapur</w:t>
            </w:r>
            <w:proofErr w:type="spellEnd"/>
          </w:p>
          <w:p w:rsidR="003E5ABB" w:rsidRPr="00BF3B15" w:rsidRDefault="003E5ABB" w:rsidP="006C781D">
            <w:pPr>
              <w:jc w:val="center"/>
              <w:rPr>
                <w:rFonts w:ascii="Palatino Linotype" w:hAnsi="Palatino Linotype" w:cs="Arial"/>
                <w:lang w:val="es-ES_tradnl"/>
              </w:rPr>
            </w:pPr>
            <w:r w:rsidRPr="00BF3B15">
              <w:rPr>
                <w:rFonts w:ascii="Palatino Linotype" w:hAnsi="Palatino Linotype" w:cs="Arial"/>
                <w:lang w:val="es-ES_tradnl"/>
              </w:rPr>
              <w:t>Comisionada</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(RÚBRICA)</w:t>
            </w:r>
          </w:p>
        </w:tc>
        <w:tc>
          <w:tcPr>
            <w:tcW w:w="5184" w:type="dxa"/>
          </w:tcPr>
          <w:p w:rsidR="003E5ABB" w:rsidRPr="00BF3B15" w:rsidRDefault="003E5ABB" w:rsidP="006C781D">
            <w:pPr>
              <w:jc w:val="center"/>
              <w:rPr>
                <w:rFonts w:ascii="Palatino Linotype" w:hAnsi="Palatino Linotype" w:cs="Arial"/>
                <w:b/>
                <w:lang w:val="es-ES_tradnl"/>
              </w:rPr>
            </w:pPr>
          </w:p>
          <w:p w:rsidR="00CF29DA" w:rsidRDefault="00CF29DA"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Default="00F85B8E" w:rsidP="006C781D">
            <w:pPr>
              <w:jc w:val="center"/>
              <w:rPr>
                <w:rFonts w:ascii="Palatino Linotype" w:hAnsi="Palatino Linotype" w:cs="Arial"/>
                <w:b/>
                <w:lang w:val="es-ES_tradnl"/>
              </w:rPr>
            </w:pPr>
          </w:p>
          <w:p w:rsidR="00F85B8E" w:rsidRPr="00BF3B15" w:rsidRDefault="00F85B8E" w:rsidP="006C781D">
            <w:pPr>
              <w:jc w:val="center"/>
              <w:rPr>
                <w:rFonts w:ascii="Palatino Linotype" w:hAnsi="Palatino Linotype" w:cs="Arial"/>
                <w:b/>
                <w:lang w:val="es-ES_tradnl"/>
              </w:rPr>
            </w:pPr>
          </w:p>
          <w:p w:rsidR="003E5ABB" w:rsidRPr="00BF3B15" w:rsidRDefault="00F85B8E" w:rsidP="006C781D">
            <w:pPr>
              <w:jc w:val="center"/>
              <w:rPr>
                <w:rFonts w:ascii="Palatino Linotype" w:hAnsi="Palatino Linotype" w:cs="Arial"/>
                <w:b/>
                <w:lang w:val="es-ES_tradnl"/>
              </w:rPr>
            </w:pPr>
            <w:r>
              <w:rPr>
                <w:rFonts w:ascii="Palatino Linotype" w:hAnsi="Palatino Linotype" w:cs="Arial"/>
                <w:b/>
                <w:lang w:val="es-ES_tradnl"/>
              </w:rPr>
              <w:t>Ausencia Justificada</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José Guadalupe Luna Hernández</w:t>
            </w:r>
          </w:p>
          <w:p w:rsidR="003E5ABB" w:rsidRPr="00BF3B15" w:rsidRDefault="003E5ABB" w:rsidP="006C781D">
            <w:pPr>
              <w:jc w:val="center"/>
              <w:rPr>
                <w:rFonts w:ascii="Palatino Linotype" w:hAnsi="Palatino Linotype" w:cs="Arial"/>
                <w:lang w:val="es-ES_tradnl"/>
              </w:rPr>
            </w:pPr>
            <w:r w:rsidRPr="00BF3B15">
              <w:rPr>
                <w:rFonts w:ascii="Palatino Linotype" w:hAnsi="Palatino Linotype" w:cs="Arial"/>
                <w:lang w:val="es-ES_tradnl"/>
              </w:rPr>
              <w:t>Comisionado</w:t>
            </w:r>
          </w:p>
          <w:p w:rsidR="003E5ABB" w:rsidRPr="00BF3B15" w:rsidRDefault="003E5ABB" w:rsidP="006C781D">
            <w:pPr>
              <w:jc w:val="center"/>
              <w:rPr>
                <w:rFonts w:ascii="Palatino Linotype" w:hAnsi="Palatino Linotype" w:cs="Arial"/>
                <w:b/>
                <w:lang w:val="es-ES_tradnl"/>
              </w:rPr>
            </w:pPr>
          </w:p>
        </w:tc>
      </w:tr>
      <w:tr w:rsidR="003E5ABB" w:rsidRPr="00BF3B15" w:rsidTr="006C781D">
        <w:trPr>
          <w:jc w:val="center"/>
        </w:trPr>
        <w:tc>
          <w:tcPr>
            <w:tcW w:w="5184" w:type="dxa"/>
          </w:tcPr>
          <w:p w:rsidR="003E5ABB" w:rsidRPr="00BF3B15" w:rsidRDefault="003E5ABB"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p>
          <w:p w:rsidR="00E158CC" w:rsidRPr="00BF3B15" w:rsidRDefault="00E158CC"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Javier Martínez Cruz</w:t>
            </w:r>
          </w:p>
          <w:p w:rsidR="003E5ABB" w:rsidRPr="00BF3B15" w:rsidRDefault="003E5ABB" w:rsidP="006C781D">
            <w:pPr>
              <w:jc w:val="center"/>
              <w:rPr>
                <w:rFonts w:ascii="Palatino Linotype" w:hAnsi="Palatino Linotype" w:cs="Arial"/>
                <w:lang w:val="es-ES_tradnl"/>
              </w:rPr>
            </w:pPr>
            <w:r w:rsidRPr="00BF3B15">
              <w:rPr>
                <w:rFonts w:ascii="Palatino Linotype" w:hAnsi="Palatino Linotype" w:cs="Arial"/>
                <w:lang w:val="es-ES_tradnl"/>
              </w:rPr>
              <w:t>Comisionado</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(RÚBRICA)</w:t>
            </w:r>
          </w:p>
        </w:tc>
        <w:tc>
          <w:tcPr>
            <w:tcW w:w="5184" w:type="dxa"/>
          </w:tcPr>
          <w:p w:rsidR="003E5ABB" w:rsidRPr="00BF3B15" w:rsidRDefault="003E5ABB"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p>
          <w:p w:rsidR="00E158CC" w:rsidRPr="00BF3B15" w:rsidRDefault="00E158CC"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Luis Gustavo Parra Noriega</w:t>
            </w:r>
          </w:p>
          <w:p w:rsidR="003E5ABB" w:rsidRPr="00BF3B15" w:rsidRDefault="003E5ABB" w:rsidP="006C781D">
            <w:pPr>
              <w:jc w:val="center"/>
              <w:rPr>
                <w:rFonts w:ascii="Palatino Linotype" w:hAnsi="Palatino Linotype" w:cs="Arial"/>
                <w:lang w:val="es-ES_tradnl"/>
              </w:rPr>
            </w:pPr>
            <w:r w:rsidRPr="00BF3B15">
              <w:rPr>
                <w:rFonts w:ascii="Palatino Linotype" w:hAnsi="Palatino Linotype" w:cs="Arial"/>
                <w:lang w:val="es-ES_tradnl"/>
              </w:rPr>
              <w:t>Comisionado</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(RÚBRICA)</w:t>
            </w:r>
          </w:p>
        </w:tc>
      </w:tr>
      <w:tr w:rsidR="003E5ABB" w:rsidRPr="00BF3B15" w:rsidTr="00F85B8E">
        <w:trPr>
          <w:trHeight w:val="509"/>
          <w:jc w:val="center"/>
        </w:trPr>
        <w:tc>
          <w:tcPr>
            <w:tcW w:w="10368" w:type="dxa"/>
            <w:gridSpan w:val="2"/>
          </w:tcPr>
          <w:p w:rsidR="003E5ABB" w:rsidRPr="00BF3B15" w:rsidRDefault="003E5ABB" w:rsidP="006C781D">
            <w:pPr>
              <w:jc w:val="center"/>
              <w:rPr>
                <w:rFonts w:ascii="Palatino Linotype" w:hAnsi="Palatino Linotype" w:cs="Arial"/>
                <w:b/>
                <w:lang w:val="es-ES_tradnl"/>
              </w:rPr>
            </w:pPr>
          </w:p>
          <w:p w:rsidR="00E158CC" w:rsidRPr="00BF3B15" w:rsidRDefault="00E158CC" w:rsidP="006C781D">
            <w:pPr>
              <w:jc w:val="center"/>
              <w:rPr>
                <w:rFonts w:ascii="Palatino Linotype" w:hAnsi="Palatino Linotype" w:cs="Arial"/>
                <w:b/>
                <w:lang w:val="es-ES_tradnl"/>
              </w:rPr>
            </w:pPr>
          </w:p>
          <w:p w:rsidR="00CF29DA" w:rsidRPr="00BF3B15" w:rsidRDefault="00CF29DA" w:rsidP="006C781D">
            <w:pPr>
              <w:jc w:val="center"/>
              <w:rPr>
                <w:rFonts w:ascii="Palatino Linotype" w:hAnsi="Palatino Linotype" w:cs="Arial"/>
                <w:b/>
                <w:lang w:val="es-ES_tradnl"/>
              </w:rPr>
            </w:pPr>
          </w:p>
          <w:p w:rsidR="00CF29DA" w:rsidRDefault="00CF29DA" w:rsidP="006C781D">
            <w:pPr>
              <w:jc w:val="center"/>
              <w:rPr>
                <w:rFonts w:ascii="Palatino Linotype" w:hAnsi="Palatino Linotype" w:cs="Arial"/>
                <w:b/>
                <w:lang w:val="es-ES_tradnl"/>
              </w:rPr>
            </w:pPr>
          </w:p>
          <w:p w:rsidR="00F85B8E" w:rsidRPr="00BF3B15" w:rsidRDefault="00F85B8E" w:rsidP="006C781D">
            <w:pPr>
              <w:jc w:val="center"/>
              <w:rPr>
                <w:rFonts w:ascii="Palatino Linotype" w:hAnsi="Palatino Linotype" w:cs="Arial"/>
                <w:b/>
                <w:lang w:val="es-ES_tradnl"/>
              </w:rPr>
            </w:pPr>
          </w:p>
          <w:p w:rsidR="00E158CC" w:rsidRPr="00BF3B15" w:rsidRDefault="00E158CC" w:rsidP="006C781D">
            <w:pPr>
              <w:jc w:val="center"/>
              <w:rPr>
                <w:rFonts w:ascii="Palatino Linotype" w:hAnsi="Palatino Linotype" w:cs="Arial"/>
                <w:b/>
                <w:lang w:val="es-ES_tradnl"/>
              </w:rPr>
            </w:pP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Alexis Tapia Ramírez</w:t>
            </w:r>
          </w:p>
          <w:p w:rsidR="003E5ABB" w:rsidRPr="00BF3B15" w:rsidRDefault="003E5ABB" w:rsidP="006C781D">
            <w:pPr>
              <w:jc w:val="center"/>
              <w:rPr>
                <w:rFonts w:ascii="Palatino Linotype" w:hAnsi="Palatino Linotype" w:cs="Arial"/>
                <w:lang w:val="es-ES_tradnl"/>
              </w:rPr>
            </w:pPr>
            <w:r w:rsidRPr="00BF3B15">
              <w:rPr>
                <w:rFonts w:ascii="Palatino Linotype" w:hAnsi="Palatino Linotype" w:cs="Arial"/>
                <w:lang w:val="es-ES_tradnl"/>
              </w:rPr>
              <w:t>Secretario Técnico del Pleno</w:t>
            </w:r>
          </w:p>
          <w:p w:rsidR="003E5ABB" w:rsidRPr="00BF3B15" w:rsidRDefault="003E5ABB" w:rsidP="006C781D">
            <w:pPr>
              <w:jc w:val="center"/>
              <w:rPr>
                <w:rFonts w:ascii="Palatino Linotype" w:hAnsi="Palatino Linotype" w:cs="Arial"/>
                <w:b/>
                <w:lang w:val="es-ES_tradnl"/>
              </w:rPr>
            </w:pPr>
            <w:r w:rsidRPr="00BF3B15">
              <w:rPr>
                <w:rFonts w:ascii="Palatino Linotype" w:hAnsi="Palatino Linotype" w:cs="Arial"/>
                <w:b/>
                <w:lang w:val="es-ES_tradnl"/>
              </w:rPr>
              <w:t>(RÚBRICA)</w:t>
            </w:r>
          </w:p>
        </w:tc>
      </w:tr>
    </w:tbl>
    <w:p w:rsidR="00E158CC" w:rsidRPr="00BF3B15" w:rsidRDefault="00E158CC" w:rsidP="003E5ABB">
      <w:pPr>
        <w:spacing w:before="100" w:beforeAutospacing="1" w:after="100" w:afterAutospacing="1"/>
        <w:jc w:val="both"/>
        <w:rPr>
          <w:rFonts w:ascii="Palatino Linotype" w:hAnsi="Palatino Linotype" w:cs="Arial"/>
          <w:sz w:val="20"/>
        </w:rPr>
      </w:pPr>
    </w:p>
    <w:p w:rsidR="00CF29DA" w:rsidRPr="00BF3B15" w:rsidRDefault="00CF29DA" w:rsidP="003E5ABB">
      <w:pPr>
        <w:spacing w:before="100" w:beforeAutospacing="1" w:after="100" w:afterAutospacing="1"/>
        <w:jc w:val="both"/>
        <w:rPr>
          <w:rFonts w:ascii="Palatino Linotype" w:hAnsi="Palatino Linotype" w:cs="Arial"/>
          <w:sz w:val="20"/>
        </w:rPr>
      </w:pPr>
    </w:p>
    <w:p w:rsidR="00CF29DA" w:rsidRPr="00BF3B15" w:rsidRDefault="00CF29DA" w:rsidP="003E5ABB">
      <w:pPr>
        <w:spacing w:before="100" w:beforeAutospacing="1" w:after="100" w:afterAutospacing="1"/>
        <w:jc w:val="both"/>
        <w:rPr>
          <w:rFonts w:ascii="Palatino Linotype" w:hAnsi="Palatino Linotype" w:cs="Arial"/>
          <w:sz w:val="20"/>
        </w:rPr>
      </w:pPr>
    </w:p>
    <w:p w:rsidR="00CF29DA" w:rsidRPr="00BF3B15" w:rsidRDefault="00CF29DA" w:rsidP="003E5ABB">
      <w:pPr>
        <w:spacing w:before="100" w:beforeAutospacing="1" w:after="100" w:afterAutospacing="1"/>
        <w:jc w:val="both"/>
        <w:rPr>
          <w:rFonts w:ascii="Palatino Linotype" w:hAnsi="Palatino Linotype" w:cs="Arial"/>
          <w:sz w:val="20"/>
        </w:rPr>
      </w:pPr>
    </w:p>
    <w:p w:rsidR="003E5ABB" w:rsidRPr="00BF3B15" w:rsidRDefault="003E5ABB" w:rsidP="003E5ABB">
      <w:pPr>
        <w:spacing w:before="100" w:beforeAutospacing="1" w:after="100" w:afterAutospacing="1"/>
        <w:jc w:val="both"/>
        <w:rPr>
          <w:rFonts w:ascii="Palatino Linotype" w:hAnsi="Palatino Linotype" w:cs="Arial"/>
          <w:sz w:val="20"/>
        </w:rPr>
      </w:pPr>
      <w:r w:rsidRPr="00BF3B15">
        <w:rPr>
          <w:rFonts w:ascii="Palatino Linotype" w:hAnsi="Palatino Linotype" w:cs="Arial"/>
          <w:sz w:val="20"/>
        </w:rPr>
        <w:t>Esta hoja corresponde a la resolución de</w:t>
      </w:r>
      <w:r w:rsidR="00E158CC" w:rsidRPr="00BF3B15">
        <w:rPr>
          <w:rFonts w:ascii="Palatino Linotype" w:hAnsi="Palatino Linotype" w:cs="Arial"/>
          <w:sz w:val="20"/>
        </w:rPr>
        <w:t xml:space="preserve"> fecha tres de abril </w:t>
      </w:r>
      <w:r w:rsidR="00E82A98" w:rsidRPr="00BF3B15">
        <w:rPr>
          <w:rFonts w:ascii="Palatino Linotype" w:hAnsi="Palatino Linotype" w:cs="Arial"/>
          <w:sz w:val="20"/>
        </w:rPr>
        <w:t xml:space="preserve">de </w:t>
      </w:r>
      <w:r w:rsidRPr="00BF3B15">
        <w:rPr>
          <w:rFonts w:ascii="Palatino Linotype" w:hAnsi="Palatino Linotype" w:cs="Arial"/>
          <w:sz w:val="20"/>
        </w:rPr>
        <w:t xml:space="preserve">dos mil diecinueve, emitida en el </w:t>
      </w:r>
      <w:r w:rsidR="00E82A98" w:rsidRPr="00BF3B15">
        <w:rPr>
          <w:rFonts w:ascii="Palatino Linotype" w:hAnsi="Palatino Linotype" w:cs="Arial"/>
          <w:sz w:val="20"/>
        </w:rPr>
        <w:t>recurso de revisión número 00332/INFOEM/IP/RR/2019</w:t>
      </w:r>
      <w:r w:rsidRPr="00BF3B15">
        <w:rPr>
          <w:rFonts w:ascii="Palatino Linotype" w:hAnsi="Palatino Linotype" w:cs="Arial"/>
          <w:sz w:val="20"/>
        </w:rPr>
        <w:t>.</w:t>
      </w:r>
    </w:p>
    <w:p w:rsidR="003E5ABB" w:rsidRPr="008B45CD" w:rsidRDefault="003E5ABB" w:rsidP="003E5ABB">
      <w:pPr>
        <w:spacing w:before="100" w:beforeAutospacing="1" w:after="100" w:afterAutospacing="1"/>
        <w:jc w:val="both"/>
      </w:pPr>
      <w:r w:rsidRPr="00BF3B15">
        <w:rPr>
          <w:rFonts w:ascii="Palatino Linotype" w:hAnsi="Palatino Linotype" w:cs="Arial"/>
          <w:sz w:val="20"/>
        </w:rPr>
        <w:t>YSM/AMV</w:t>
      </w:r>
    </w:p>
    <w:sectPr w:rsidR="003E5ABB" w:rsidRPr="008B45CD" w:rsidSect="006C781D">
      <w:headerReference w:type="default" r:id="rId46"/>
      <w:footerReference w:type="default" r:id="rId47"/>
      <w:headerReference w:type="first" r:id="rId48"/>
      <w:footerReference w:type="first" r:id="rId49"/>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4329" w:rsidRDefault="006F4329" w:rsidP="003E5ABB">
      <w:r>
        <w:separator/>
      </w:r>
    </w:p>
  </w:endnote>
  <w:endnote w:type="continuationSeparator" w:id="0">
    <w:p w:rsidR="006F4329" w:rsidRDefault="006F4329" w:rsidP="003E5A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4329" w:rsidRPr="00A2780F" w:rsidRDefault="006F4329" w:rsidP="006C781D">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A97960">
      <w:rPr>
        <w:rFonts w:ascii="Arial" w:hAnsi="Arial" w:cs="Arial"/>
        <w:b/>
        <w:bCs/>
        <w:noProof/>
        <w:sz w:val="20"/>
        <w:szCs w:val="20"/>
      </w:rPr>
      <w:t>20</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A97960">
      <w:rPr>
        <w:rFonts w:ascii="Arial" w:hAnsi="Arial" w:cs="Arial"/>
        <w:b/>
        <w:bCs/>
        <w:noProof/>
        <w:sz w:val="20"/>
        <w:szCs w:val="20"/>
      </w:rPr>
      <w:t>64</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4329" w:rsidRDefault="006F4329" w:rsidP="006C781D">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A97960">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A97960">
      <w:rPr>
        <w:rFonts w:ascii="Arial" w:hAnsi="Arial" w:cs="Arial"/>
        <w:b/>
        <w:bCs/>
        <w:noProof/>
        <w:sz w:val="20"/>
        <w:szCs w:val="20"/>
      </w:rPr>
      <w:t>64</w:t>
    </w:r>
    <w:r w:rsidRPr="00986599">
      <w:rPr>
        <w:rFonts w:ascii="Arial" w:hAnsi="Arial" w:cs="Arial"/>
        <w:b/>
        <w:bCs/>
        <w:sz w:val="20"/>
        <w:szCs w:val="20"/>
      </w:rPr>
      <w:fldChar w:fldCharType="end"/>
    </w:r>
  </w:p>
  <w:p w:rsidR="006F4329" w:rsidRPr="00070856" w:rsidRDefault="006F4329" w:rsidP="006C781D">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4329" w:rsidRDefault="006F4329" w:rsidP="003E5ABB">
      <w:r>
        <w:separator/>
      </w:r>
    </w:p>
  </w:footnote>
  <w:footnote w:type="continuationSeparator" w:id="0">
    <w:p w:rsidR="006F4329" w:rsidRDefault="006F4329" w:rsidP="003E5ABB">
      <w:r>
        <w:continuationSeparator/>
      </w:r>
    </w:p>
  </w:footnote>
  <w:footnote w:id="1">
    <w:p w:rsidR="006F4329" w:rsidRPr="00CE0B55" w:rsidRDefault="006F4329" w:rsidP="00CE0B55">
      <w:pPr>
        <w:pStyle w:val="Textonotapie"/>
        <w:jc w:val="both"/>
        <w:rPr>
          <w:rFonts w:ascii="Palatino Linotype" w:hAnsi="Palatino Linotype"/>
          <w:sz w:val="16"/>
          <w:szCs w:val="16"/>
        </w:rPr>
      </w:pPr>
      <w:r>
        <w:rPr>
          <w:rStyle w:val="Refdenotaalpie"/>
        </w:rPr>
        <w:footnoteRef/>
      </w:r>
      <w:r>
        <w:t xml:space="preserve"> </w:t>
      </w:r>
      <w:r w:rsidRPr="00363798">
        <w:rPr>
          <w:rFonts w:ascii="Palatino Linotype" w:hAnsi="Palatino Linotype"/>
          <w:sz w:val="16"/>
          <w:szCs w:val="16"/>
        </w:rPr>
        <w:t>De conformidad con lo establecido en los artículos 13 y 181, párrafo cuarto de la Ley de Transparencia y Acceso a la Información Pública del Estado de México y Municipios, esta Ponencia Resolutora determina suplir la deficien</w:t>
      </w:r>
      <w:r>
        <w:rPr>
          <w:rFonts w:ascii="Palatino Linotype" w:hAnsi="Palatino Linotype"/>
          <w:sz w:val="16"/>
          <w:szCs w:val="16"/>
        </w:rPr>
        <w:t>cia presentada en la solicitud referente a la temporalidad de la cual se requirió la información; por lo que, si bien la solicitante señaló la última quincena dispersada, lo procedente es que se determine que los talones de pago que se entreguen correspondan a la primera quincena del mes de noviembre de 2018, debido a que la solicitud de información se presentó el 26 de noviembre de 2018.</w:t>
      </w:r>
    </w:p>
  </w:footnote>
  <w:footnote w:id="2">
    <w:p w:rsidR="006F4329" w:rsidRPr="007830EB" w:rsidRDefault="006F4329" w:rsidP="0059709C">
      <w:pPr>
        <w:autoSpaceDE w:val="0"/>
        <w:autoSpaceDN w:val="0"/>
        <w:adjustRightInd w:val="0"/>
        <w:jc w:val="both"/>
        <w:rPr>
          <w:rFonts w:ascii="Palatino Linotype" w:hAnsi="Palatino Linotype" w:cs="Arial"/>
          <w:i/>
          <w:sz w:val="16"/>
          <w:szCs w:val="16"/>
          <w:lang w:eastAsia="es-MX"/>
        </w:rPr>
      </w:pPr>
      <w:r>
        <w:rPr>
          <w:rStyle w:val="Refdenotaalpie"/>
        </w:rPr>
        <w:footnoteRef/>
      </w:r>
      <w:r>
        <w:t xml:space="preserve"> </w:t>
      </w:r>
      <w:r w:rsidRPr="007830EB">
        <w:rPr>
          <w:rFonts w:ascii="Palatino Linotype" w:hAnsi="Palatino Linotype" w:cs="Arial"/>
          <w:b/>
          <w:bCs/>
          <w:i/>
          <w:sz w:val="16"/>
          <w:szCs w:val="16"/>
          <w:lang w:eastAsia="es-MX"/>
        </w:rPr>
        <w:t xml:space="preserve">“Artículo 4. </w:t>
      </w:r>
      <w:r w:rsidRPr="007830EB">
        <w:rPr>
          <w:rFonts w:ascii="Palatino Linotype" w:hAnsi="Palatino Linotype" w:cs="Arial"/>
          <w:i/>
          <w:sz w:val="16"/>
          <w:szCs w:val="16"/>
          <w:lang w:eastAsia="es-MX"/>
        </w:rPr>
        <w:t>Son sujetos de fiscalización:</w:t>
      </w:r>
    </w:p>
    <w:p w:rsidR="006F4329" w:rsidRPr="007830EB" w:rsidRDefault="006F4329" w:rsidP="0059709C">
      <w:pPr>
        <w:autoSpaceDE w:val="0"/>
        <w:autoSpaceDN w:val="0"/>
        <w:adjustRightInd w:val="0"/>
        <w:jc w:val="both"/>
        <w:rPr>
          <w:rFonts w:ascii="Palatino Linotype" w:hAnsi="Palatino Linotype" w:cs="Arial"/>
          <w:i/>
          <w:sz w:val="16"/>
          <w:szCs w:val="16"/>
          <w:lang w:eastAsia="es-MX"/>
        </w:rPr>
      </w:pPr>
      <w:r w:rsidRPr="007830EB">
        <w:rPr>
          <w:rFonts w:ascii="Palatino Linotype" w:hAnsi="Palatino Linotype" w:cs="Arial"/>
          <w:b/>
          <w:bCs/>
          <w:i/>
          <w:sz w:val="16"/>
          <w:szCs w:val="16"/>
          <w:lang w:eastAsia="es-MX"/>
        </w:rPr>
        <w:t>…</w:t>
      </w:r>
    </w:p>
    <w:p w:rsidR="006F4329" w:rsidRPr="007830EB" w:rsidRDefault="006F4329" w:rsidP="0059709C">
      <w:pPr>
        <w:autoSpaceDE w:val="0"/>
        <w:autoSpaceDN w:val="0"/>
        <w:adjustRightInd w:val="0"/>
        <w:ind w:right="49"/>
        <w:jc w:val="both"/>
        <w:rPr>
          <w:rFonts w:ascii="Palatino Linotype" w:hAnsi="Palatino Linotype" w:cs="Arial"/>
          <w:i/>
          <w:sz w:val="16"/>
          <w:szCs w:val="16"/>
          <w:lang w:eastAsia="es-MX"/>
        </w:rPr>
      </w:pPr>
      <w:r w:rsidRPr="007830EB">
        <w:rPr>
          <w:rFonts w:ascii="Palatino Linotype" w:hAnsi="Palatino Linotype" w:cs="Arial"/>
          <w:i/>
          <w:sz w:val="16"/>
          <w:szCs w:val="16"/>
          <w:lang w:eastAsia="es-MX"/>
        </w:rPr>
        <w:t>II. Los municipios del Estado de México;</w:t>
      </w:r>
    </w:p>
    <w:p w:rsidR="006F4329" w:rsidRPr="007830EB" w:rsidRDefault="006F4329" w:rsidP="0059709C">
      <w:pPr>
        <w:autoSpaceDE w:val="0"/>
        <w:autoSpaceDN w:val="0"/>
        <w:adjustRightInd w:val="0"/>
        <w:ind w:right="49"/>
        <w:jc w:val="both"/>
        <w:rPr>
          <w:rFonts w:ascii="Palatino Linotype" w:hAnsi="Palatino Linotype" w:cs="Arial"/>
          <w:i/>
          <w:color w:val="000000"/>
          <w:sz w:val="16"/>
          <w:szCs w:val="16"/>
        </w:rPr>
      </w:pPr>
      <w:r w:rsidRPr="007830EB">
        <w:rPr>
          <w:rFonts w:ascii="Palatino Linotype" w:hAnsi="Palatino Linotype" w:cs="Arial"/>
          <w:i/>
          <w:sz w:val="16"/>
          <w:szCs w:val="16"/>
          <w:lang w:eastAsia="es-MX"/>
        </w:rPr>
        <w:t>…” (Sic)</w:t>
      </w:r>
    </w:p>
  </w:footnote>
  <w:footnote w:id="3">
    <w:p w:rsidR="006F4329" w:rsidRPr="0089171D" w:rsidRDefault="006F4329" w:rsidP="0089171D">
      <w:pPr>
        <w:autoSpaceDE w:val="0"/>
        <w:autoSpaceDN w:val="0"/>
        <w:adjustRightInd w:val="0"/>
        <w:ind w:right="49"/>
        <w:jc w:val="both"/>
        <w:rPr>
          <w:rFonts w:ascii="Palatino Linotype" w:hAnsi="Palatino Linotype"/>
          <w:i/>
          <w:sz w:val="16"/>
          <w:szCs w:val="16"/>
        </w:rPr>
      </w:pPr>
      <w:r>
        <w:rPr>
          <w:rStyle w:val="Refdenotaalpie"/>
        </w:rPr>
        <w:footnoteRef/>
      </w:r>
      <w:r>
        <w:t xml:space="preserve"> </w:t>
      </w:r>
      <w:r w:rsidRPr="0089171D">
        <w:rPr>
          <w:rFonts w:ascii="Palatino Linotype" w:hAnsi="Palatino Linotype"/>
          <w:b/>
          <w:i/>
          <w:sz w:val="16"/>
          <w:szCs w:val="16"/>
        </w:rPr>
        <w:t>Artículo 92</w:t>
      </w:r>
      <w:r w:rsidRPr="0089171D">
        <w:rPr>
          <w:rFonts w:ascii="Palatino Linotype" w:hAnsi="Palatino Linotype"/>
          <w:i/>
          <w:sz w:val="16"/>
          <w:szCs w:val="16"/>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6F4329" w:rsidRPr="0089171D" w:rsidRDefault="006F4329" w:rsidP="0089171D">
      <w:pPr>
        <w:autoSpaceDE w:val="0"/>
        <w:autoSpaceDN w:val="0"/>
        <w:adjustRightInd w:val="0"/>
        <w:ind w:right="49"/>
        <w:jc w:val="both"/>
        <w:rPr>
          <w:rFonts w:ascii="Palatino Linotype" w:hAnsi="Palatino Linotype"/>
          <w:i/>
          <w:sz w:val="16"/>
          <w:szCs w:val="16"/>
        </w:rPr>
      </w:pPr>
      <w:r w:rsidRPr="0089171D">
        <w:rPr>
          <w:rFonts w:ascii="Palatino Linotype" w:hAnsi="Palatino Linotype"/>
          <w:i/>
          <w:sz w:val="16"/>
          <w:szCs w:val="16"/>
        </w:rPr>
        <w:t>…</w:t>
      </w:r>
    </w:p>
    <w:p w:rsidR="006F4329" w:rsidRPr="0089171D" w:rsidRDefault="006F4329" w:rsidP="0089171D">
      <w:pPr>
        <w:autoSpaceDE w:val="0"/>
        <w:autoSpaceDN w:val="0"/>
        <w:adjustRightInd w:val="0"/>
        <w:ind w:right="49"/>
        <w:jc w:val="both"/>
        <w:rPr>
          <w:rFonts w:ascii="Palatino Linotype" w:hAnsi="Palatino Linotype"/>
          <w:i/>
          <w:sz w:val="22"/>
        </w:rPr>
      </w:pPr>
      <w:r w:rsidRPr="0089171D">
        <w:rPr>
          <w:rFonts w:ascii="Palatino Linotype" w:hAnsi="Palatino Linotype"/>
          <w:b/>
          <w:i/>
          <w:sz w:val="16"/>
          <w:szCs w:val="16"/>
        </w:rPr>
        <w:t>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r w:rsidRPr="0089171D">
        <w:rPr>
          <w:rFonts w:ascii="Palatino Linotype" w:hAnsi="Palatino Linotype"/>
          <w:i/>
          <w:sz w:val="16"/>
          <w:szCs w:val="16"/>
        </w:rPr>
        <w:t>;</w:t>
      </w:r>
    </w:p>
  </w:footnote>
  <w:footnote w:id="4">
    <w:p w:rsidR="006F4329" w:rsidRPr="00515048" w:rsidRDefault="006F4329" w:rsidP="00515048">
      <w:pPr>
        <w:pStyle w:val="Textonotapie"/>
        <w:jc w:val="both"/>
        <w:rPr>
          <w:rFonts w:ascii="Palatino Linotype" w:hAnsi="Palatino Linotype"/>
          <w:b/>
          <w:sz w:val="16"/>
          <w:szCs w:val="16"/>
        </w:rPr>
      </w:pPr>
      <w:r>
        <w:rPr>
          <w:rStyle w:val="Refdenotaalpie"/>
        </w:rPr>
        <w:footnoteRef/>
      </w:r>
      <w:r>
        <w:t xml:space="preserve"> </w:t>
      </w:r>
      <w:r w:rsidRPr="00515048">
        <w:rPr>
          <w:rFonts w:ascii="Palatino Linotype" w:hAnsi="Palatino Linotype"/>
          <w:b/>
          <w:sz w:val="16"/>
          <w:szCs w:val="16"/>
        </w:rPr>
        <w:t>Bando Municipal de Metepec 2019</w:t>
      </w:r>
    </w:p>
    <w:p w:rsidR="006F4329" w:rsidRPr="00515048" w:rsidRDefault="006F4329" w:rsidP="00515048">
      <w:pPr>
        <w:pStyle w:val="Textonotapie"/>
        <w:jc w:val="both"/>
        <w:rPr>
          <w:rFonts w:ascii="Palatino Linotype" w:hAnsi="Palatino Linotype"/>
          <w:sz w:val="16"/>
          <w:szCs w:val="16"/>
        </w:rPr>
      </w:pPr>
      <w:r w:rsidRPr="00515048">
        <w:rPr>
          <w:rFonts w:ascii="Palatino Linotype" w:hAnsi="Palatino Linotype"/>
          <w:b/>
          <w:sz w:val="16"/>
          <w:szCs w:val="16"/>
        </w:rPr>
        <w:t>ARTÍCULO 36.-</w:t>
      </w:r>
      <w:r w:rsidRPr="00515048">
        <w:rPr>
          <w:rFonts w:ascii="Palatino Linotype" w:hAnsi="Palatino Linotype"/>
          <w:sz w:val="16"/>
          <w:szCs w:val="16"/>
        </w:rPr>
        <w:t xml:space="preserve"> La Administración Pública Centralizada, es una forma de organización de la Administración Pública del Municipio, la cual se integra por:</w:t>
      </w:r>
    </w:p>
    <w:p w:rsidR="006F4329" w:rsidRPr="00515048" w:rsidRDefault="006F4329" w:rsidP="00515048">
      <w:pPr>
        <w:pStyle w:val="Textonotapie"/>
        <w:ind w:left="142"/>
        <w:jc w:val="both"/>
        <w:rPr>
          <w:rFonts w:ascii="Palatino Linotype" w:hAnsi="Palatino Linotype"/>
          <w:sz w:val="16"/>
          <w:szCs w:val="16"/>
        </w:rPr>
      </w:pPr>
      <w:r w:rsidRPr="00515048">
        <w:rPr>
          <w:rFonts w:ascii="Palatino Linotype" w:hAnsi="Palatino Linotype"/>
          <w:sz w:val="16"/>
          <w:szCs w:val="16"/>
        </w:rPr>
        <w:t>…</w:t>
      </w:r>
    </w:p>
    <w:p w:rsidR="006F4329" w:rsidRPr="00515048" w:rsidRDefault="006F4329" w:rsidP="00515048">
      <w:pPr>
        <w:pStyle w:val="Textonotapie"/>
        <w:ind w:left="142"/>
        <w:jc w:val="both"/>
        <w:rPr>
          <w:rFonts w:ascii="Palatino Linotype" w:hAnsi="Palatino Linotype"/>
          <w:b/>
          <w:sz w:val="16"/>
          <w:szCs w:val="16"/>
        </w:rPr>
      </w:pPr>
      <w:r w:rsidRPr="00515048">
        <w:rPr>
          <w:rFonts w:ascii="Palatino Linotype" w:hAnsi="Palatino Linotype"/>
          <w:b/>
          <w:sz w:val="16"/>
          <w:szCs w:val="16"/>
        </w:rPr>
        <w:t>V. Direcciones de:</w:t>
      </w:r>
    </w:p>
    <w:p w:rsidR="006F4329" w:rsidRPr="00515048" w:rsidRDefault="006F4329" w:rsidP="00515048">
      <w:pPr>
        <w:pStyle w:val="Textonotapie"/>
        <w:ind w:left="567"/>
        <w:jc w:val="both"/>
        <w:rPr>
          <w:rFonts w:ascii="Palatino Linotype" w:hAnsi="Palatino Linotype"/>
          <w:sz w:val="16"/>
          <w:szCs w:val="16"/>
        </w:rPr>
      </w:pPr>
      <w:r w:rsidRPr="00515048">
        <w:rPr>
          <w:rFonts w:ascii="Palatino Linotype" w:hAnsi="Palatino Linotype"/>
          <w:sz w:val="16"/>
          <w:szCs w:val="16"/>
        </w:rPr>
        <w:t>…</w:t>
      </w:r>
    </w:p>
    <w:p w:rsidR="006F4329" w:rsidRPr="0089171D" w:rsidRDefault="006F4329" w:rsidP="0089171D">
      <w:pPr>
        <w:pStyle w:val="Textonotapie"/>
        <w:ind w:left="567"/>
        <w:jc w:val="both"/>
        <w:rPr>
          <w:rFonts w:ascii="Palatino Linotype" w:hAnsi="Palatino Linotype"/>
          <w:b/>
          <w:sz w:val="16"/>
          <w:szCs w:val="16"/>
        </w:rPr>
      </w:pPr>
      <w:r w:rsidRPr="00515048">
        <w:rPr>
          <w:rFonts w:ascii="Palatino Linotype" w:hAnsi="Palatino Linotype"/>
          <w:b/>
          <w:sz w:val="16"/>
          <w:szCs w:val="16"/>
        </w:rPr>
        <w:t>l</w:t>
      </w:r>
      <w:r>
        <w:rPr>
          <w:rFonts w:ascii="Palatino Linotype" w:hAnsi="Palatino Linotype"/>
          <w:b/>
          <w:sz w:val="16"/>
          <w:szCs w:val="16"/>
        </w:rPr>
        <w:t>) Seguridad Pública y Tránsito;</w:t>
      </w:r>
    </w:p>
  </w:footnote>
  <w:footnote w:id="5">
    <w:p w:rsidR="006F4329" w:rsidRPr="00A85DA7" w:rsidRDefault="006F4329" w:rsidP="00A85DA7">
      <w:pPr>
        <w:pStyle w:val="Textonotapie"/>
        <w:jc w:val="both"/>
        <w:rPr>
          <w:rFonts w:ascii="Palatino Linotype" w:hAnsi="Palatino Linotype"/>
          <w:b/>
          <w:sz w:val="16"/>
          <w:szCs w:val="16"/>
        </w:rPr>
      </w:pPr>
      <w:r>
        <w:rPr>
          <w:rStyle w:val="Refdenotaalpie"/>
        </w:rPr>
        <w:footnoteRef/>
      </w:r>
      <w:r>
        <w:t xml:space="preserve"> </w:t>
      </w:r>
      <w:r w:rsidRPr="00A85DA7">
        <w:rPr>
          <w:rFonts w:ascii="Palatino Linotype" w:hAnsi="Palatino Linotype"/>
          <w:b/>
          <w:sz w:val="16"/>
          <w:szCs w:val="16"/>
        </w:rPr>
        <w:t>Ley de Protección de Datos Personales en Posesión de los Sujetos Obligados del Estado de México y Municipios</w:t>
      </w:r>
    </w:p>
    <w:p w:rsidR="006F4329" w:rsidRDefault="006F4329" w:rsidP="00A85DA7">
      <w:pPr>
        <w:pStyle w:val="Textonotapie"/>
        <w:jc w:val="both"/>
        <w:rPr>
          <w:rFonts w:ascii="Palatino Linotype" w:hAnsi="Palatino Linotype"/>
          <w:sz w:val="16"/>
          <w:szCs w:val="16"/>
        </w:rPr>
      </w:pPr>
      <w:r w:rsidRPr="00A85DA7">
        <w:rPr>
          <w:rFonts w:ascii="Palatino Linotype" w:hAnsi="Palatino Linotype"/>
          <w:b/>
          <w:sz w:val="16"/>
          <w:szCs w:val="16"/>
        </w:rPr>
        <w:t>Artículo 4.</w:t>
      </w:r>
      <w:r w:rsidRPr="00A85DA7">
        <w:rPr>
          <w:rFonts w:ascii="Palatino Linotype" w:hAnsi="Palatino Linotype"/>
          <w:sz w:val="16"/>
          <w:szCs w:val="16"/>
        </w:rPr>
        <w:t xml:space="preserve"> Para los efectos de esta Ley se entenderá por:</w:t>
      </w:r>
    </w:p>
    <w:p w:rsidR="006F4329" w:rsidRPr="00A85DA7" w:rsidRDefault="006F4329" w:rsidP="00A85DA7">
      <w:pPr>
        <w:pStyle w:val="Textonotapie"/>
        <w:jc w:val="both"/>
        <w:rPr>
          <w:rFonts w:ascii="Palatino Linotype" w:hAnsi="Palatino Linotype"/>
          <w:sz w:val="16"/>
          <w:szCs w:val="16"/>
        </w:rPr>
      </w:pPr>
      <w:r>
        <w:rPr>
          <w:rFonts w:ascii="Palatino Linotype" w:hAnsi="Palatino Linotype"/>
          <w:sz w:val="16"/>
          <w:szCs w:val="16"/>
        </w:rPr>
        <w:t>…</w:t>
      </w:r>
    </w:p>
    <w:p w:rsidR="006F4329" w:rsidRPr="00A85DA7" w:rsidRDefault="006F4329" w:rsidP="00A85DA7">
      <w:pPr>
        <w:pStyle w:val="Textonotapie"/>
        <w:jc w:val="both"/>
        <w:rPr>
          <w:rFonts w:ascii="Palatino Linotype" w:hAnsi="Palatino Linotype"/>
          <w:sz w:val="16"/>
          <w:szCs w:val="16"/>
        </w:rPr>
      </w:pPr>
      <w:r w:rsidRPr="00A85DA7">
        <w:rPr>
          <w:rFonts w:ascii="Palatino Linotype" w:hAnsi="Palatino Linotype"/>
          <w:b/>
          <w:sz w:val="16"/>
          <w:szCs w:val="16"/>
        </w:rPr>
        <w:t>XVI. Disociación:</w:t>
      </w:r>
      <w:r w:rsidRPr="00A85DA7">
        <w:rPr>
          <w:rFonts w:ascii="Palatino Linotype" w:hAnsi="Palatino Linotype"/>
          <w:sz w:val="16"/>
          <w:szCs w:val="16"/>
        </w:rPr>
        <w:t xml:space="preserve"> al procedimiento por el que </w:t>
      </w:r>
      <w:r w:rsidRPr="00A85DA7">
        <w:rPr>
          <w:rFonts w:ascii="Palatino Linotype" w:hAnsi="Palatino Linotype"/>
          <w:b/>
          <w:sz w:val="16"/>
          <w:szCs w:val="16"/>
        </w:rPr>
        <w:t>los datos personales no pueden asociarse a la o el titular,</w:t>
      </w:r>
      <w:r w:rsidRPr="00A85DA7">
        <w:rPr>
          <w:rFonts w:ascii="Palatino Linotype" w:hAnsi="Palatino Linotype"/>
          <w:sz w:val="16"/>
          <w:szCs w:val="16"/>
        </w:rPr>
        <w:t xml:space="preserve"> </w:t>
      </w:r>
      <w:r w:rsidRPr="00A85DA7">
        <w:rPr>
          <w:rFonts w:ascii="Palatino Linotype" w:hAnsi="Palatino Linotype"/>
          <w:b/>
          <w:sz w:val="16"/>
          <w:szCs w:val="16"/>
        </w:rPr>
        <w:t>ni permitir</w:t>
      </w:r>
      <w:r w:rsidRPr="00A85DA7">
        <w:rPr>
          <w:rFonts w:ascii="Palatino Linotype" w:hAnsi="Palatino Linotype"/>
          <w:sz w:val="16"/>
          <w:szCs w:val="16"/>
        </w:rPr>
        <w:t xml:space="preserve"> por su estructura, contenido o grado de desagregación, </w:t>
      </w:r>
      <w:r w:rsidRPr="00A85DA7">
        <w:rPr>
          <w:rFonts w:ascii="Palatino Linotype" w:hAnsi="Palatino Linotype"/>
          <w:b/>
          <w:sz w:val="16"/>
          <w:szCs w:val="16"/>
        </w:rPr>
        <w:t>la identificación individual del mismo</w:t>
      </w:r>
      <w:r>
        <w:rPr>
          <w:rFonts w:ascii="Palatino Linotype" w:hAnsi="Palatino Linotype"/>
          <w:b/>
          <w:sz w:val="16"/>
          <w:szCs w:val="16"/>
        </w:rPr>
        <w:t>.</w:t>
      </w:r>
    </w:p>
  </w:footnote>
  <w:footnote w:id="6">
    <w:p w:rsidR="006F4329" w:rsidRPr="007830EB" w:rsidRDefault="006F4329" w:rsidP="00D55ADC">
      <w:pPr>
        <w:autoSpaceDE w:val="0"/>
        <w:autoSpaceDN w:val="0"/>
        <w:adjustRightInd w:val="0"/>
        <w:jc w:val="both"/>
        <w:rPr>
          <w:rFonts w:ascii="Palatino Linotype" w:hAnsi="Palatino Linotype" w:cs="Arial"/>
          <w:i/>
          <w:sz w:val="16"/>
          <w:szCs w:val="16"/>
          <w:lang w:eastAsia="es-MX"/>
        </w:rPr>
      </w:pPr>
      <w:r>
        <w:rPr>
          <w:rStyle w:val="Refdenotaalpie"/>
        </w:rPr>
        <w:footnoteRef/>
      </w:r>
      <w:r>
        <w:t xml:space="preserve"> </w:t>
      </w:r>
      <w:r w:rsidRPr="007830EB">
        <w:rPr>
          <w:rFonts w:ascii="Palatino Linotype" w:hAnsi="Palatino Linotype" w:cs="Arial"/>
          <w:b/>
          <w:bCs/>
          <w:i/>
          <w:sz w:val="16"/>
          <w:szCs w:val="16"/>
          <w:lang w:eastAsia="es-MX"/>
        </w:rPr>
        <w:t xml:space="preserve">“Artículo 4. </w:t>
      </w:r>
      <w:r w:rsidRPr="007830EB">
        <w:rPr>
          <w:rFonts w:ascii="Palatino Linotype" w:hAnsi="Palatino Linotype" w:cs="Arial"/>
          <w:i/>
          <w:sz w:val="16"/>
          <w:szCs w:val="16"/>
          <w:lang w:eastAsia="es-MX"/>
        </w:rPr>
        <w:t>Son sujetos de fiscalización:</w:t>
      </w:r>
    </w:p>
    <w:p w:rsidR="006F4329" w:rsidRPr="007830EB" w:rsidRDefault="006F4329" w:rsidP="00D55ADC">
      <w:pPr>
        <w:autoSpaceDE w:val="0"/>
        <w:autoSpaceDN w:val="0"/>
        <w:adjustRightInd w:val="0"/>
        <w:jc w:val="both"/>
        <w:rPr>
          <w:rFonts w:ascii="Palatino Linotype" w:hAnsi="Palatino Linotype" w:cs="Arial"/>
          <w:i/>
          <w:sz w:val="16"/>
          <w:szCs w:val="16"/>
          <w:lang w:eastAsia="es-MX"/>
        </w:rPr>
      </w:pPr>
      <w:r w:rsidRPr="007830EB">
        <w:rPr>
          <w:rFonts w:ascii="Palatino Linotype" w:hAnsi="Palatino Linotype" w:cs="Arial"/>
          <w:b/>
          <w:bCs/>
          <w:i/>
          <w:sz w:val="16"/>
          <w:szCs w:val="16"/>
          <w:lang w:eastAsia="es-MX"/>
        </w:rPr>
        <w:t>…</w:t>
      </w:r>
    </w:p>
    <w:p w:rsidR="006F4329" w:rsidRPr="007830EB" w:rsidRDefault="006F4329" w:rsidP="00D55ADC">
      <w:pPr>
        <w:autoSpaceDE w:val="0"/>
        <w:autoSpaceDN w:val="0"/>
        <w:adjustRightInd w:val="0"/>
        <w:ind w:right="49"/>
        <w:jc w:val="both"/>
        <w:rPr>
          <w:rFonts w:ascii="Palatino Linotype" w:hAnsi="Palatino Linotype" w:cs="Arial"/>
          <w:i/>
          <w:sz w:val="16"/>
          <w:szCs w:val="16"/>
          <w:lang w:eastAsia="es-MX"/>
        </w:rPr>
      </w:pPr>
      <w:r w:rsidRPr="007830EB">
        <w:rPr>
          <w:rFonts w:ascii="Palatino Linotype" w:hAnsi="Palatino Linotype" w:cs="Arial"/>
          <w:i/>
          <w:sz w:val="16"/>
          <w:szCs w:val="16"/>
          <w:lang w:eastAsia="es-MX"/>
        </w:rPr>
        <w:t>II. Los municipios del Estado de México;</w:t>
      </w:r>
    </w:p>
    <w:p w:rsidR="006F4329" w:rsidRPr="007830EB" w:rsidRDefault="006F4329" w:rsidP="00D55ADC">
      <w:pPr>
        <w:autoSpaceDE w:val="0"/>
        <w:autoSpaceDN w:val="0"/>
        <w:adjustRightInd w:val="0"/>
        <w:ind w:right="49"/>
        <w:jc w:val="both"/>
        <w:rPr>
          <w:rFonts w:ascii="Palatino Linotype" w:hAnsi="Palatino Linotype" w:cs="Arial"/>
          <w:i/>
          <w:color w:val="000000"/>
          <w:sz w:val="16"/>
          <w:szCs w:val="16"/>
        </w:rPr>
      </w:pPr>
      <w:r w:rsidRPr="007830EB">
        <w:rPr>
          <w:rFonts w:ascii="Palatino Linotype" w:hAnsi="Palatino Linotype" w:cs="Arial"/>
          <w:i/>
          <w:sz w:val="16"/>
          <w:szCs w:val="16"/>
          <w:lang w:eastAsia="es-MX"/>
        </w:rPr>
        <w:t>…” (Sic)</w:t>
      </w:r>
    </w:p>
  </w:footnote>
  <w:footnote w:id="7">
    <w:p w:rsidR="006F4329" w:rsidRPr="00305715" w:rsidRDefault="006F4329" w:rsidP="00305715">
      <w:pPr>
        <w:jc w:val="both"/>
        <w:rPr>
          <w:rFonts w:ascii="Palatino Linotype" w:hAnsi="Palatino Linotype"/>
          <w:sz w:val="16"/>
          <w:szCs w:val="16"/>
        </w:rPr>
      </w:pPr>
      <w:r>
        <w:rPr>
          <w:rStyle w:val="Refdenotaalpie"/>
        </w:rPr>
        <w:footnoteRef/>
      </w:r>
      <w:r>
        <w:t xml:space="preserve"> </w:t>
      </w:r>
      <w:r w:rsidRPr="00305715">
        <w:rPr>
          <w:rFonts w:ascii="Palatino Linotype" w:hAnsi="Palatino Linotype"/>
          <w:sz w:val="16"/>
          <w:szCs w:val="16"/>
        </w:rPr>
        <w:t>Ello, en atención a</w:t>
      </w:r>
      <w:r>
        <w:rPr>
          <w:rFonts w:ascii="Palatino Linotype" w:hAnsi="Palatino Linotype"/>
          <w:sz w:val="16"/>
          <w:szCs w:val="16"/>
        </w:rPr>
        <w:t xml:space="preserve"> que la particular no estableció temporalidad respecto de la cual requería la información; sin embargo, </w:t>
      </w:r>
      <w:r w:rsidRPr="00305715">
        <w:rPr>
          <w:rFonts w:ascii="Palatino Linotype" w:hAnsi="Palatino Linotype"/>
          <w:sz w:val="16"/>
          <w:szCs w:val="16"/>
        </w:rPr>
        <w:t xml:space="preserve">en atención a lo establecido en </w:t>
      </w:r>
      <w:r w:rsidRPr="00305715">
        <w:rPr>
          <w:rFonts w:ascii="Palatino Linotype" w:hAnsi="Palatino Linotype" w:cs="Arial"/>
          <w:color w:val="000000"/>
          <w:sz w:val="16"/>
          <w:szCs w:val="16"/>
          <w:lang w:eastAsia="es-MX"/>
        </w:rPr>
        <w:t>los artículos 13 y 181 de la Ley de Transparencia y Acceso</w:t>
      </w:r>
      <w:r w:rsidRPr="00655A19">
        <w:rPr>
          <w:rFonts w:ascii="Palatino Linotype" w:hAnsi="Palatino Linotype" w:cs="Arial"/>
          <w:color w:val="000000"/>
          <w:lang w:eastAsia="es-MX"/>
        </w:rPr>
        <w:t xml:space="preserve"> </w:t>
      </w:r>
      <w:r w:rsidRPr="00305715">
        <w:rPr>
          <w:rFonts w:ascii="Palatino Linotype" w:hAnsi="Palatino Linotype"/>
          <w:sz w:val="16"/>
          <w:szCs w:val="16"/>
        </w:rPr>
        <w:t>a la Información Pública del Estado de México y Municipios, se realiza la suplencia</w:t>
      </w:r>
      <w:r>
        <w:rPr>
          <w:rFonts w:ascii="Palatino Linotype" w:hAnsi="Palatino Linotype"/>
          <w:sz w:val="16"/>
          <w:szCs w:val="16"/>
        </w:rPr>
        <w:t xml:space="preserve"> en cuanto a la temporalidad de entrega y se establece que será al 26 de noviembre de 2018.</w:t>
      </w:r>
    </w:p>
  </w:footnote>
  <w:footnote w:id="8">
    <w:p w:rsidR="006F4329" w:rsidRPr="004D3A61" w:rsidRDefault="006F4329">
      <w:pPr>
        <w:pStyle w:val="Textonotapie"/>
        <w:rPr>
          <w:rFonts w:ascii="Palatino Linotype" w:hAnsi="Palatino Linotype"/>
          <w:sz w:val="16"/>
          <w:szCs w:val="16"/>
        </w:rPr>
      </w:pPr>
      <w:r>
        <w:rPr>
          <w:rStyle w:val="Refdenotaalpie"/>
        </w:rPr>
        <w:footnoteRef/>
      </w:r>
      <w:r>
        <w:t xml:space="preserve"> </w:t>
      </w:r>
      <w:r w:rsidRPr="004D3A61">
        <w:rPr>
          <w:rFonts w:ascii="Palatino Linotype" w:hAnsi="Palatino Linotype"/>
          <w:sz w:val="16"/>
          <w:szCs w:val="16"/>
        </w:rPr>
        <w:t>https://dle.rae.es/?id=G09HIAP</w:t>
      </w:r>
    </w:p>
  </w:footnote>
  <w:footnote w:id="9">
    <w:p w:rsidR="006F4329" w:rsidRPr="00531972" w:rsidRDefault="006F4329" w:rsidP="00D9244E">
      <w:pPr>
        <w:pStyle w:val="Textonotapie"/>
        <w:jc w:val="both"/>
        <w:rPr>
          <w:rFonts w:ascii="Palatino Linotype" w:hAnsi="Palatino Linotype"/>
          <w:sz w:val="16"/>
          <w:szCs w:val="16"/>
        </w:rPr>
      </w:pPr>
      <w:r>
        <w:rPr>
          <w:rStyle w:val="Refdenotaalpie"/>
        </w:rPr>
        <w:footnoteRef/>
      </w:r>
      <w:r>
        <w:t xml:space="preserve"> </w:t>
      </w:r>
      <w:r w:rsidRPr="00531972">
        <w:rPr>
          <w:rFonts w:ascii="Palatino Linotype" w:hAnsi="Palatino Linotype"/>
          <w:sz w:val="16"/>
          <w:szCs w:val="16"/>
        </w:rPr>
        <w:t xml:space="preserve">Ello, en razón de que la particular presentó su solicitud de información en fecha 26 de noviembre de 2018, es decir un mes antes de que </w:t>
      </w:r>
      <w:r w:rsidRPr="00531972">
        <w:rPr>
          <w:rFonts w:ascii="Palatino Linotype" w:hAnsi="Palatino Linotype"/>
          <w:b/>
          <w:sz w:val="16"/>
          <w:szCs w:val="16"/>
        </w:rPr>
        <w:t xml:space="preserve">EL SUJETO OBLIGADO </w:t>
      </w:r>
      <w:r w:rsidRPr="00531972">
        <w:rPr>
          <w:rFonts w:ascii="Palatino Linotype" w:hAnsi="Palatino Linotype"/>
          <w:sz w:val="16"/>
          <w:szCs w:val="16"/>
        </w:rPr>
        <w:t>realizara la última actualización a dichos inventarios.</w:t>
      </w:r>
    </w:p>
  </w:footnote>
  <w:footnote w:id="10">
    <w:p w:rsidR="006F4329" w:rsidRPr="00D9244E" w:rsidRDefault="006F4329" w:rsidP="00D9244E">
      <w:pPr>
        <w:pStyle w:val="Textonotapie"/>
        <w:jc w:val="both"/>
        <w:rPr>
          <w:rFonts w:ascii="Palatino Linotype" w:hAnsi="Palatino Linotype"/>
          <w:sz w:val="16"/>
          <w:szCs w:val="16"/>
        </w:rPr>
      </w:pPr>
      <w:r>
        <w:rPr>
          <w:rStyle w:val="Refdenotaalpie"/>
        </w:rPr>
        <w:footnoteRef/>
      </w:r>
      <w:r>
        <w:t xml:space="preserve"> </w:t>
      </w:r>
      <w:r w:rsidRPr="00D9244E">
        <w:rPr>
          <w:rFonts w:ascii="Palatino Linotype" w:hAnsi="Palatino Linotype"/>
          <w:sz w:val="16"/>
          <w:szCs w:val="16"/>
        </w:rPr>
        <w:t>Supliendo la solicitud de información en términos de los artículos 13 y 181 de la Ley de Transparencia y Acceso a la Información Pública del Estado de México y Municipios.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4329" w:rsidRPr="00354355" w:rsidRDefault="006F4329" w:rsidP="006C781D">
    <w:pPr>
      <w:pStyle w:val="Encabezado"/>
      <w:tabs>
        <w:tab w:val="clear" w:pos="4252"/>
        <w:tab w:val="clear" w:pos="8504"/>
        <w:tab w:val="left" w:pos="2326"/>
      </w:tabs>
      <w:rPr>
        <w:rFonts w:ascii="Palatino Linotype" w:hAnsi="Palatino Linotype"/>
        <w:sz w:val="20"/>
        <w:szCs w:val="20"/>
      </w:rPr>
    </w:pPr>
  </w:p>
  <w:tbl>
    <w:tblPr>
      <w:tblW w:w="9356" w:type="dxa"/>
      <w:tblInd w:w="-142" w:type="dxa"/>
      <w:tblLayout w:type="fixed"/>
      <w:tblLook w:val="04A0" w:firstRow="1" w:lastRow="0" w:firstColumn="1" w:lastColumn="0" w:noHBand="0" w:noVBand="1"/>
    </w:tblPr>
    <w:tblGrid>
      <w:gridCol w:w="3686"/>
      <w:gridCol w:w="2551"/>
      <w:gridCol w:w="3119"/>
    </w:tblGrid>
    <w:tr w:rsidR="006F4329" w:rsidRPr="008F2CCC" w:rsidTr="006C781D">
      <w:tc>
        <w:tcPr>
          <w:tcW w:w="3686" w:type="dxa"/>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664658" w:rsidRDefault="006F4329" w:rsidP="006C781D">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119" w:type="dxa"/>
          <w:shd w:val="clear" w:color="auto" w:fill="auto"/>
          <w:vAlign w:val="center"/>
        </w:tcPr>
        <w:p w:rsidR="006F4329" w:rsidRPr="00664658" w:rsidRDefault="006F4329" w:rsidP="0059709C">
          <w:pPr>
            <w:jc w:val="both"/>
            <w:rPr>
              <w:rFonts w:ascii="Palatino Linotype" w:hAnsi="Palatino Linotype"/>
              <w:b/>
              <w:sz w:val="22"/>
              <w:szCs w:val="22"/>
              <w:lang w:val="es-ES_tradnl"/>
            </w:rPr>
          </w:pPr>
          <w:r>
            <w:rPr>
              <w:rFonts w:ascii="Palatino Linotype" w:hAnsi="Palatino Linotype"/>
              <w:b/>
              <w:sz w:val="22"/>
              <w:szCs w:val="22"/>
              <w:lang w:val="es-ES_tradnl"/>
            </w:rPr>
            <w:t>00332/INFOEM/IP/RR/2019</w:t>
          </w:r>
        </w:p>
      </w:tc>
    </w:tr>
    <w:tr w:rsidR="006F4329" w:rsidRPr="008F2CCC" w:rsidTr="006C781D">
      <w:tc>
        <w:tcPr>
          <w:tcW w:w="3686" w:type="dxa"/>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664658" w:rsidRDefault="006F4329" w:rsidP="006C781D">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119" w:type="dxa"/>
          <w:shd w:val="clear" w:color="auto" w:fill="auto"/>
          <w:vAlign w:val="center"/>
        </w:tcPr>
        <w:p w:rsidR="006F4329" w:rsidRPr="00DC41C8" w:rsidRDefault="006F4329" w:rsidP="006C781D">
          <w:pPr>
            <w:jc w:val="both"/>
            <w:rPr>
              <w:rFonts w:ascii="Palatino Linotype" w:hAnsi="Palatino Linotype"/>
              <w:b/>
              <w:sz w:val="22"/>
              <w:szCs w:val="22"/>
            </w:rPr>
          </w:pPr>
          <w:r>
            <w:rPr>
              <w:rFonts w:ascii="Palatino Linotype" w:hAnsi="Palatino Linotype"/>
              <w:b/>
              <w:sz w:val="22"/>
              <w:szCs w:val="22"/>
            </w:rPr>
            <w:t>Ayuntamiento de Metepec</w:t>
          </w:r>
        </w:p>
      </w:tc>
    </w:tr>
    <w:tr w:rsidR="006F4329" w:rsidRPr="008F2CCC" w:rsidTr="006C781D">
      <w:trPr>
        <w:trHeight w:val="228"/>
      </w:trPr>
      <w:tc>
        <w:tcPr>
          <w:tcW w:w="3686" w:type="dxa"/>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664658" w:rsidRDefault="006F4329" w:rsidP="006C781D">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119" w:type="dxa"/>
          <w:shd w:val="clear" w:color="auto" w:fill="auto"/>
        </w:tcPr>
        <w:p w:rsidR="006F4329" w:rsidRPr="00664658" w:rsidRDefault="006F4329" w:rsidP="006C781D">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6F4329" w:rsidRPr="00354355" w:rsidRDefault="006F4329" w:rsidP="006C781D">
    <w:pPr>
      <w:pStyle w:val="Encabezado"/>
      <w:tabs>
        <w:tab w:val="clear" w:pos="4252"/>
        <w:tab w:val="clear" w:pos="8504"/>
        <w:tab w:val="left" w:pos="2326"/>
      </w:tabs>
      <w:rPr>
        <w:rFonts w:ascii="Palatino Linotype" w:hAnsi="Palatino Linotype"/>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4329" w:rsidRPr="00B8513C" w:rsidRDefault="006F4329">
    <w:pPr>
      <w:rPr>
        <w:rFonts w:ascii="Palatino Linotype" w:hAnsi="Palatino Linotype"/>
        <w:sz w:val="20"/>
        <w:szCs w:val="20"/>
      </w:rPr>
    </w:pPr>
  </w:p>
  <w:tbl>
    <w:tblPr>
      <w:tblW w:w="9356" w:type="dxa"/>
      <w:tblInd w:w="-142" w:type="dxa"/>
      <w:tblLayout w:type="fixed"/>
      <w:tblLook w:val="04A0" w:firstRow="1" w:lastRow="0" w:firstColumn="1" w:lastColumn="0" w:noHBand="0" w:noVBand="1"/>
    </w:tblPr>
    <w:tblGrid>
      <w:gridCol w:w="3544"/>
      <w:gridCol w:w="2551"/>
      <w:gridCol w:w="3261"/>
    </w:tblGrid>
    <w:tr w:rsidR="006F4329" w:rsidRPr="008F2CCC" w:rsidTr="006C781D">
      <w:tc>
        <w:tcPr>
          <w:tcW w:w="3544" w:type="dxa"/>
          <w:vMerge w:val="restart"/>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8F2CCC" w:rsidRDefault="006F4329" w:rsidP="006C781D">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1" w:type="dxa"/>
          <w:shd w:val="clear" w:color="auto" w:fill="auto"/>
          <w:vAlign w:val="center"/>
        </w:tcPr>
        <w:p w:rsidR="006F4329" w:rsidRPr="008F2CCC" w:rsidRDefault="006F4329" w:rsidP="003E5ABB">
          <w:pPr>
            <w:jc w:val="both"/>
            <w:rPr>
              <w:rFonts w:ascii="Palatino Linotype" w:hAnsi="Palatino Linotype"/>
              <w:b/>
              <w:sz w:val="22"/>
              <w:szCs w:val="22"/>
              <w:lang w:val="es-ES_tradnl"/>
            </w:rPr>
          </w:pPr>
          <w:r>
            <w:rPr>
              <w:rFonts w:ascii="Palatino Linotype" w:hAnsi="Palatino Linotype"/>
              <w:b/>
              <w:sz w:val="22"/>
              <w:szCs w:val="22"/>
              <w:lang w:val="es-ES_tradnl"/>
            </w:rPr>
            <w:t>00332/INFOEM/IP/RR/2019</w:t>
          </w:r>
        </w:p>
      </w:tc>
    </w:tr>
    <w:tr w:rsidR="006F4329" w:rsidRPr="008F2CCC" w:rsidTr="006C781D">
      <w:tc>
        <w:tcPr>
          <w:tcW w:w="3544" w:type="dxa"/>
          <w:vMerge/>
        </w:tcPr>
        <w:p w:rsidR="006F4329" w:rsidRPr="008F2CCC" w:rsidRDefault="006F4329" w:rsidP="006C781D">
          <w:pPr>
            <w:rPr>
              <w:rFonts w:ascii="Palatino Linotype" w:hAnsi="Palatino Linotype"/>
              <w:b/>
              <w:sz w:val="22"/>
              <w:szCs w:val="22"/>
              <w:lang w:val="es-ES_tradnl"/>
            </w:rPr>
          </w:pPr>
        </w:p>
      </w:tc>
      <w:tc>
        <w:tcPr>
          <w:tcW w:w="2551" w:type="dxa"/>
          <w:shd w:val="clear" w:color="auto" w:fill="auto"/>
          <w:vAlign w:val="center"/>
        </w:tcPr>
        <w:p w:rsidR="006F4329" w:rsidRPr="008F2CCC" w:rsidRDefault="006F4329" w:rsidP="006C781D">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1" w:type="dxa"/>
          <w:shd w:val="clear" w:color="auto" w:fill="auto"/>
          <w:vAlign w:val="center"/>
        </w:tcPr>
        <w:p w:rsidR="006F4329" w:rsidRPr="008F2CCC" w:rsidRDefault="006F4329" w:rsidP="006F4329">
          <w:pPr>
            <w:jc w:val="both"/>
            <w:rPr>
              <w:rFonts w:ascii="Palatino Linotype" w:hAnsi="Palatino Linotype"/>
              <w:b/>
              <w:sz w:val="22"/>
              <w:szCs w:val="22"/>
              <w:lang w:val="es-ES_tradnl"/>
            </w:rPr>
          </w:pPr>
          <w:r>
            <w:rPr>
              <w:rFonts w:ascii="Palatino Linotype" w:hAnsi="Palatino Linotype"/>
              <w:b/>
              <w:sz w:val="22"/>
              <w:szCs w:val="22"/>
            </w:rPr>
            <w:t xml:space="preserve">XXXXXXXXX </w:t>
          </w:r>
          <w:proofErr w:type="spellStart"/>
          <w:r>
            <w:rPr>
              <w:rFonts w:ascii="Palatino Linotype" w:hAnsi="Palatino Linotype"/>
              <w:b/>
              <w:sz w:val="22"/>
              <w:szCs w:val="22"/>
            </w:rPr>
            <w:t>XXXXXXXXX</w:t>
          </w:r>
          <w:proofErr w:type="spellEnd"/>
          <w:r>
            <w:rPr>
              <w:rFonts w:ascii="Palatino Linotype" w:hAnsi="Palatino Linotype"/>
              <w:b/>
              <w:sz w:val="22"/>
              <w:szCs w:val="22"/>
            </w:rPr>
            <w:t xml:space="preserve"> XXXXX</w:t>
          </w:r>
        </w:p>
      </w:tc>
    </w:tr>
    <w:tr w:rsidR="006F4329" w:rsidRPr="008F2CCC" w:rsidTr="006C781D">
      <w:trPr>
        <w:trHeight w:val="228"/>
      </w:trPr>
      <w:tc>
        <w:tcPr>
          <w:tcW w:w="3544" w:type="dxa"/>
          <w:vMerge/>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8F2CCC" w:rsidRDefault="006F4329" w:rsidP="006C781D">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1" w:type="dxa"/>
          <w:shd w:val="clear" w:color="auto" w:fill="auto"/>
          <w:vAlign w:val="center"/>
        </w:tcPr>
        <w:p w:rsidR="006F4329" w:rsidRPr="00DC41C8" w:rsidRDefault="006F4329" w:rsidP="006C781D">
          <w:pPr>
            <w:jc w:val="both"/>
            <w:rPr>
              <w:rFonts w:ascii="Palatino Linotype" w:hAnsi="Palatino Linotype"/>
              <w:b/>
              <w:sz w:val="22"/>
              <w:szCs w:val="22"/>
            </w:rPr>
          </w:pPr>
          <w:r>
            <w:rPr>
              <w:rFonts w:ascii="Palatino Linotype" w:hAnsi="Palatino Linotype"/>
              <w:b/>
              <w:sz w:val="22"/>
              <w:szCs w:val="22"/>
            </w:rPr>
            <w:t>Ayuntamiento de Metepec</w:t>
          </w:r>
        </w:p>
      </w:tc>
    </w:tr>
    <w:tr w:rsidR="006F4329" w:rsidRPr="008F2CCC" w:rsidTr="006C781D">
      <w:tc>
        <w:tcPr>
          <w:tcW w:w="3544" w:type="dxa"/>
          <w:vMerge/>
        </w:tcPr>
        <w:p w:rsidR="006F4329" w:rsidRPr="008F2CCC" w:rsidRDefault="006F4329" w:rsidP="006C781D">
          <w:pPr>
            <w:rPr>
              <w:rFonts w:ascii="Palatino Linotype" w:hAnsi="Palatino Linotype"/>
              <w:b/>
              <w:sz w:val="22"/>
              <w:szCs w:val="22"/>
              <w:lang w:val="es-ES_tradnl"/>
            </w:rPr>
          </w:pPr>
        </w:p>
      </w:tc>
      <w:tc>
        <w:tcPr>
          <w:tcW w:w="2551" w:type="dxa"/>
          <w:shd w:val="clear" w:color="auto" w:fill="auto"/>
        </w:tcPr>
        <w:p w:rsidR="006F4329" w:rsidRPr="008F2CCC" w:rsidRDefault="006F4329" w:rsidP="006C781D">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1" w:type="dxa"/>
          <w:shd w:val="clear" w:color="auto" w:fill="auto"/>
        </w:tcPr>
        <w:p w:rsidR="006F4329" w:rsidRPr="008F2CCC" w:rsidRDefault="006F4329" w:rsidP="006C781D">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6F4329" w:rsidRPr="00B8513C" w:rsidRDefault="006F4329" w:rsidP="006C781D">
    <w:pPr>
      <w:rPr>
        <w:rFonts w:ascii="Palatino Linotype" w:hAnsi="Palatino Linotype"/>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A45941"/>
    <w:multiLevelType w:val="hybridMultilevel"/>
    <w:tmpl w:val="C79C47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2C6A11C8"/>
    <w:multiLevelType w:val="hybridMultilevel"/>
    <w:tmpl w:val="4178035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5ABB"/>
    <w:rsid w:val="00021D05"/>
    <w:rsid w:val="000664E8"/>
    <w:rsid w:val="000735C9"/>
    <w:rsid w:val="000A7A39"/>
    <w:rsid w:val="000F2389"/>
    <w:rsid w:val="00103E93"/>
    <w:rsid w:val="001112B1"/>
    <w:rsid w:val="001264AE"/>
    <w:rsid w:val="001358C9"/>
    <w:rsid w:val="00140E66"/>
    <w:rsid w:val="00146670"/>
    <w:rsid w:val="00187C26"/>
    <w:rsid w:val="001B3AB2"/>
    <w:rsid w:val="002017FF"/>
    <w:rsid w:val="00202B2C"/>
    <w:rsid w:val="0025668F"/>
    <w:rsid w:val="00266946"/>
    <w:rsid w:val="00305715"/>
    <w:rsid w:val="00311F40"/>
    <w:rsid w:val="00323472"/>
    <w:rsid w:val="003E3448"/>
    <w:rsid w:val="003E5ABB"/>
    <w:rsid w:val="003F095C"/>
    <w:rsid w:val="0041687B"/>
    <w:rsid w:val="00455E86"/>
    <w:rsid w:val="004623A8"/>
    <w:rsid w:val="00476058"/>
    <w:rsid w:val="004C213B"/>
    <w:rsid w:val="004D3A61"/>
    <w:rsid w:val="004D4BEC"/>
    <w:rsid w:val="004E64C4"/>
    <w:rsid w:val="00515048"/>
    <w:rsid w:val="0052071B"/>
    <w:rsid w:val="00531972"/>
    <w:rsid w:val="0053236B"/>
    <w:rsid w:val="0053242C"/>
    <w:rsid w:val="005338CD"/>
    <w:rsid w:val="0056712F"/>
    <w:rsid w:val="0059709C"/>
    <w:rsid w:val="00645D60"/>
    <w:rsid w:val="006A7FFD"/>
    <w:rsid w:val="006C2645"/>
    <w:rsid w:val="006C781D"/>
    <w:rsid w:val="006D2250"/>
    <w:rsid w:val="006E4727"/>
    <w:rsid w:val="006E66D6"/>
    <w:rsid w:val="006F4329"/>
    <w:rsid w:val="00710CE8"/>
    <w:rsid w:val="00811179"/>
    <w:rsid w:val="00841EE1"/>
    <w:rsid w:val="0089171D"/>
    <w:rsid w:val="008B45CD"/>
    <w:rsid w:val="008D11F1"/>
    <w:rsid w:val="008E42A1"/>
    <w:rsid w:val="008E537C"/>
    <w:rsid w:val="009238AA"/>
    <w:rsid w:val="009521AD"/>
    <w:rsid w:val="00954546"/>
    <w:rsid w:val="009C6573"/>
    <w:rsid w:val="009C7964"/>
    <w:rsid w:val="009F5717"/>
    <w:rsid w:val="009F5A70"/>
    <w:rsid w:val="00A03B5C"/>
    <w:rsid w:val="00A242AE"/>
    <w:rsid w:val="00A85DA7"/>
    <w:rsid w:val="00A97960"/>
    <w:rsid w:val="00AA53A1"/>
    <w:rsid w:val="00B26D85"/>
    <w:rsid w:val="00B86868"/>
    <w:rsid w:val="00BE32D8"/>
    <w:rsid w:val="00BF3B15"/>
    <w:rsid w:val="00C23B43"/>
    <w:rsid w:val="00C31410"/>
    <w:rsid w:val="00C3374E"/>
    <w:rsid w:val="00C36B5C"/>
    <w:rsid w:val="00C77446"/>
    <w:rsid w:val="00C90D52"/>
    <w:rsid w:val="00C9714C"/>
    <w:rsid w:val="00CC3D37"/>
    <w:rsid w:val="00CE0B55"/>
    <w:rsid w:val="00CF29DA"/>
    <w:rsid w:val="00D268CE"/>
    <w:rsid w:val="00D55ADC"/>
    <w:rsid w:val="00D57F57"/>
    <w:rsid w:val="00D74383"/>
    <w:rsid w:val="00D856CB"/>
    <w:rsid w:val="00D90FB4"/>
    <w:rsid w:val="00D9244E"/>
    <w:rsid w:val="00DA7722"/>
    <w:rsid w:val="00DE30D4"/>
    <w:rsid w:val="00DF0F8C"/>
    <w:rsid w:val="00E158CC"/>
    <w:rsid w:val="00E64BE8"/>
    <w:rsid w:val="00E82A98"/>
    <w:rsid w:val="00E93DB1"/>
    <w:rsid w:val="00EA713C"/>
    <w:rsid w:val="00ED1E5C"/>
    <w:rsid w:val="00F85B8E"/>
    <w:rsid w:val="00F907DB"/>
    <w:rsid w:val="00FA3B5E"/>
    <w:rsid w:val="00FC2964"/>
    <w:rsid w:val="00FD40F1"/>
    <w:rsid w:val="00FF019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2E97AF3-9982-4929-869E-C65684B9F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5ABB"/>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E5ABB"/>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3E5ABB"/>
    <w:rPr>
      <w:rFonts w:eastAsiaTheme="minorEastAsia"/>
      <w:sz w:val="24"/>
      <w:szCs w:val="24"/>
      <w:lang w:val="es-ES_tradnl" w:eastAsia="es-ES"/>
    </w:rPr>
  </w:style>
  <w:style w:type="paragraph" w:styleId="Piedepgina">
    <w:name w:val="footer"/>
    <w:basedOn w:val="Normal"/>
    <w:link w:val="PiedepginaCar"/>
    <w:uiPriority w:val="99"/>
    <w:unhideWhenUsed/>
    <w:rsid w:val="003E5ABB"/>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3E5ABB"/>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3E5ABB"/>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3E5ABB"/>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3E5ABB"/>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3E5ABB"/>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3E5ABB"/>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3E5ABB"/>
    <w:rPr>
      <w:vertAlign w:val="superscript"/>
    </w:rPr>
  </w:style>
  <w:style w:type="paragraph" w:customStyle="1" w:styleId="paragraph">
    <w:name w:val="paragraph"/>
    <w:basedOn w:val="Normal"/>
    <w:rsid w:val="003E5ABB"/>
    <w:pPr>
      <w:spacing w:before="100" w:beforeAutospacing="1" w:after="100" w:afterAutospacing="1" w:line="264" w:lineRule="auto"/>
    </w:pPr>
    <w:rPr>
      <w:rFonts w:asciiTheme="minorHAnsi" w:eastAsiaTheme="minorEastAsia" w:hAnsiTheme="minorHAnsi" w:cstheme="minorBidi"/>
      <w:sz w:val="20"/>
      <w:szCs w:val="20"/>
      <w:lang w:eastAsia="es-MX"/>
    </w:rPr>
  </w:style>
  <w:style w:type="character" w:styleId="Hipervnculo">
    <w:name w:val="Hyperlink"/>
    <w:basedOn w:val="Fuentedeprrafopredeter"/>
    <w:uiPriority w:val="99"/>
    <w:semiHidden/>
    <w:unhideWhenUsed/>
    <w:rsid w:val="009C6573"/>
    <w:rPr>
      <w:color w:val="0000FF"/>
      <w:u w:val="single"/>
    </w:rPr>
  </w:style>
  <w:style w:type="character" w:customStyle="1" w:styleId="apple-style-span">
    <w:name w:val="apple-style-span"/>
    <w:rsid w:val="0059709C"/>
  </w:style>
  <w:style w:type="paragraph" w:styleId="Textodeglobo">
    <w:name w:val="Balloon Text"/>
    <w:basedOn w:val="Normal"/>
    <w:link w:val="TextodegloboCar"/>
    <w:uiPriority w:val="99"/>
    <w:semiHidden/>
    <w:unhideWhenUsed/>
    <w:rsid w:val="00CC3D3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C3D37"/>
    <w:rPr>
      <w:rFonts w:ascii="Segoe UI" w:eastAsia="Times New Roman" w:hAnsi="Segoe UI" w:cs="Segoe UI"/>
      <w:sz w:val="18"/>
      <w:szCs w:val="18"/>
      <w:lang w:eastAsia="es-ES"/>
    </w:rPr>
  </w:style>
  <w:style w:type="paragraph" w:styleId="Textoindependiente2">
    <w:name w:val="Body Text 2"/>
    <w:basedOn w:val="Normal"/>
    <w:link w:val="Textoindependiente2Car"/>
    <w:uiPriority w:val="99"/>
    <w:unhideWhenUsed/>
    <w:rsid w:val="00146670"/>
    <w:pPr>
      <w:spacing w:after="120" w:line="480" w:lineRule="auto"/>
    </w:pPr>
    <w:rPr>
      <w:lang w:val="es-ES"/>
    </w:rPr>
  </w:style>
  <w:style w:type="character" w:customStyle="1" w:styleId="Textoindependiente2Car">
    <w:name w:val="Texto independiente 2 Car"/>
    <w:basedOn w:val="Fuentedeprrafopredeter"/>
    <w:link w:val="Textoindependiente2"/>
    <w:uiPriority w:val="99"/>
    <w:rsid w:val="00146670"/>
    <w:rPr>
      <w:rFonts w:ascii="Times New Roman" w:eastAsia="Times New Roman" w:hAnsi="Times New Roman" w:cs="Times New Roman"/>
      <w:sz w:val="24"/>
      <w:szCs w:val="24"/>
      <w:lang w:val="es-ES" w:eastAsia="es-ES"/>
    </w:rPr>
  </w:style>
  <w:style w:type="character" w:customStyle="1" w:styleId="nacep">
    <w:name w:val="n_acep"/>
    <w:basedOn w:val="Fuentedeprrafopredeter"/>
    <w:rsid w:val="004D3A61"/>
  </w:style>
  <w:style w:type="character" w:customStyle="1" w:styleId="h">
    <w:name w:val="h"/>
    <w:basedOn w:val="Fuentedeprrafopredeter"/>
    <w:rsid w:val="004D3A61"/>
  </w:style>
  <w:style w:type="paragraph" w:customStyle="1" w:styleId="q">
    <w:name w:val="q"/>
    <w:basedOn w:val="Normal"/>
    <w:rsid w:val="00A242AE"/>
    <w:pPr>
      <w:spacing w:before="100" w:beforeAutospacing="1" w:after="100" w:afterAutospacing="1"/>
    </w:pPr>
    <w:rPr>
      <w:lang w:eastAsia="es-MX"/>
    </w:rPr>
  </w:style>
  <w:style w:type="paragraph" w:customStyle="1" w:styleId="k5">
    <w:name w:val="k5"/>
    <w:basedOn w:val="Normal"/>
    <w:rsid w:val="00D90FB4"/>
    <w:pPr>
      <w:spacing w:before="100" w:beforeAutospacing="1" w:after="100" w:afterAutospacing="1"/>
    </w:pPr>
    <w:rPr>
      <w:lang w:eastAsia="es-MX"/>
    </w:rPr>
  </w:style>
  <w:style w:type="paragraph" w:customStyle="1" w:styleId="m">
    <w:name w:val="m"/>
    <w:basedOn w:val="Normal"/>
    <w:rsid w:val="00D90FB4"/>
    <w:pPr>
      <w:spacing w:before="100" w:beforeAutospacing="1" w:after="100" w:afterAutospacing="1"/>
    </w:pPr>
    <w:rPr>
      <w:lang w:eastAsia="es-MX"/>
    </w:rPr>
  </w:style>
  <w:style w:type="character" w:customStyle="1" w:styleId="u">
    <w:name w:val="u"/>
    <w:basedOn w:val="Fuentedeprrafopredeter"/>
    <w:rsid w:val="00D90FB4"/>
  </w:style>
  <w:style w:type="paragraph" w:styleId="Sinespaciado">
    <w:name w:val="No Spacing"/>
    <w:aliases w:val="Francesa"/>
    <w:link w:val="SinespaciadoCar"/>
    <w:uiPriority w:val="1"/>
    <w:qFormat/>
    <w:rsid w:val="006C2645"/>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uiPriority w:val="1"/>
    <w:locked/>
    <w:rsid w:val="006C2645"/>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627504">
      <w:bodyDiv w:val="1"/>
      <w:marLeft w:val="0"/>
      <w:marRight w:val="0"/>
      <w:marTop w:val="0"/>
      <w:marBottom w:val="0"/>
      <w:divBdr>
        <w:top w:val="none" w:sz="0" w:space="0" w:color="auto"/>
        <w:left w:val="none" w:sz="0" w:space="0" w:color="auto"/>
        <w:bottom w:val="none" w:sz="0" w:space="0" w:color="auto"/>
        <w:right w:val="none" w:sz="0" w:space="0" w:color="auto"/>
      </w:divBdr>
    </w:div>
    <w:div w:id="1704674488">
      <w:bodyDiv w:val="1"/>
      <w:marLeft w:val="0"/>
      <w:marRight w:val="0"/>
      <w:marTop w:val="0"/>
      <w:marBottom w:val="0"/>
      <w:divBdr>
        <w:top w:val="none" w:sz="0" w:space="0" w:color="auto"/>
        <w:left w:val="none" w:sz="0" w:space="0" w:color="auto"/>
        <w:bottom w:val="none" w:sz="0" w:space="0" w:color="auto"/>
        <w:right w:val="none" w:sz="0" w:space="0" w:color="auto"/>
      </w:divBdr>
      <w:divsChild>
        <w:div w:id="16238754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623980.page" TargetMode="External"/><Relationship Id="rId18" Type="http://schemas.openxmlformats.org/officeDocument/2006/relationships/hyperlink" Target="https://www.saimex.org.mx/saimex/solicitud/downloadAttach/640428.page"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imex.org.mx/saimex/solicitud/downloadAttach/623980.page"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s://www.saimex.org.mx/saimex/solicitud/downloadAttach/623979.pag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https://www.saimex.org.mx/saimex/solicitud/downloadAttach/640429.page" TargetMode="External"/><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aimex.org.mx/saimex/solicitud/downloadAttach/623981.pag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saimex.org.mx/saimex/solicitud/downloadAttach/623979.page" TargetMode="External"/><Relationship Id="rId17" Type="http://schemas.openxmlformats.org/officeDocument/2006/relationships/hyperlink" Target="https://www.saimex.org.mx/saimex/solicitud/downloadAttach/623981.page"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eader" Target="header1.xml"/><Relationship Id="rId20" Type="http://schemas.openxmlformats.org/officeDocument/2006/relationships/hyperlink" Target="https://www.saimex.org.mx/saimex/solicitud/downloadAttach/640429.page" TargetMode="Externa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EE1C31-A27C-41A8-ADF7-969D870FB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64</Pages>
  <Words>13704</Words>
  <Characters>75377</Characters>
  <Application>Microsoft Office Word</Application>
  <DocSecurity>0</DocSecurity>
  <Lines>628</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cp:revision>
  <cp:lastPrinted>2019-03-26T20:23:00Z</cp:lastPrinted>
  <dcterms:created xsi:type="dcterms:W3CDTF">2019-03-29T02:20:00Z</dcterms:created>
  <dcterms:modified xsi:type="dcterms:W3CDTF">2019-05-21T17:18:00Z</dcterms:modified>
</cp:coreProperties>
</file>